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0F890" w14:textId="77777777" w:rsidR="00F92268" w:rsidRPr="00DE1FF5" w:rsidRDefault="00F92268" w:rsidP="00850792">
      <w:pPr>
        <w:pStyle w:val="BodyText"/>
        <w:rPr>
          <w:sz w:val="6"/>
          <w:szCs w:val="6"/>
        </w:rPr>
      </w:pPr>
      <w:r w:rsidRPr="00DE1FF5">
        <w:rPr>
          <w:noProof/>
        </w:rPr>
        <w:drawing>
          <wp:inline distT="0" distB="0" distL="0" distR="0" wp14:anchorId="487108E2" wp14:editId="336EA8A2">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DE1FF5" w14:paraId="0A4FC5AE"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0C7E22" w14:textId="77777777" w:rsidR="00F92268" w:rsidRPr="00DE1FF5" w:rsidRDefault="00F92268" w:rsidP="00884A3C">
            <w:pPr>
              <w:pStyle w:val="RefTableData"/>
            </w:pPr>
            <w:r w:rsidRPr="00DE1FF5">
              <w:t>Reference number(s)</w:t>
            </w:r>
          </w:p>
        </w:tc>
      </w:tr>
      <w:tr w:rsidR="00F92268" w:rsidRPr="00DE1FF5" w14:paraId="3479CCAB"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315F6A32" w14:textId="065F010A" w:rsidR="00F92268" w:rsidRPr="00DE1FF5" w:rsidRDefault="0016613B" w:rsidP="00884A3C">
            <w:pPr>
              <w:pStyle w:val="RefTableData"/>
            </w:pPr>
            <w:r>
              <w:rPr>
                <w:rStyle w:val="ui-provider"/>
              </w:rPr>
              <w:t>903-J, 1-J</w:t>
            </w:r>
          </w:p>
        </w:tc>
      </w:tr>
    </w:tbl>
    <w:p w14:paraId="3FAD810E" w14:textId="77777777" w:rsidR="00051356" w:rsidRPr="00DE1FF5" w:rsidRDefault="00051356" w:rsidP="008139A7">
      <w:pPr>
        <w:pStyle w:val="BodyText"/>
        <w:spacing w:after="0"/>
        <w:rPr>
          <w:b/>
          <w:bCs/>
          <w:sz w:val="16"/>
          <w:szCs w:val="16"/>
        </w:rPr>
        <w:sectPr w:rsidR="00051356" w:rsidRPr="00DE1FF5"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7E3CD41E" w14:textId="6B2E6596" w:rsidR="004B15BB" w:rsidRPr="00DE1FF5" w:rsidRDefault="00321235" w:rsidP="007E5C16">
      <w:pPr>
        <w:pStyle w:val="Heading1"/>
      </w:pPr>
      <w:r w:rsidRPr="00DE1FF5">
        <w:t>Post Limit Prior Authorization</w:t>
      </w:r>
      <w:r w:rsidRPr="00DE1FF5">
        <w:br/>
        <w:t>5-HT</w:t>
      </w:r>
      <w:r w:rsidRPr="00D0118F">
        <w:rPr>
          <w:vertAlign w:val="subscript"/>
        </w:rPr>
        <w:t>1</w:t>
      </w:r>
      <w:r w:rsidRPr="00DE1FF5">
        <w:t xml:space="preserve"> Agonists, Combinations (All Dosage Forms)</w:t>
      </w:r>
    </w:p>
    <w:p w14:paraId="7EA28186" w14:textId="77777777" w:rsidR="00203468" w:rsidRPr="00DE1FF5" w:rsidRDefault="00C64534" w:rsidP="008E0F0D">
      <w:pPr>
        <w:pStyle w:val="Heading2"/>
      </w:pPr>
      <w:r w:rsidRPr="00DE1FF5">
        <w:t xml:space="preserve">Products Referenced by this </w:t>
      </w:r>
      <w:r w:rsidR="00501602" w:rsidRPr="00DE1FF5">
        <w:t>Document</w:t>
      </w:r>
      <w:r w:rsidR="0026796B" w:rsidRPr="00DE1FF5">
        <w:t xml:space="preserve"> </w:t>
      </w:r>
    </w:p>
    <w:p w14:paraId="3B4FF0FC" w14:textId="77777777" w:rsidR="008E0F0D" w:rsidRPr="00DE1FF5" w:rsidRDefault="00D82D85" w:rsidP="008B73E8">
      <w:pPr>
        <w:pStyle w:val="BodyText"/>
      </w:pPr>
      <w:r w:rsidRPr="00DE1FF5">
        <w:t xml:space="preserve">Drugs that are listed in the </w:t>
      </w:r>
      <w:r w:rsidR="000315F1" w:rsidRPr="00DE1FF5">
        <w:t>following table</w:t>
      </w:r>
      <w:r w:rsidRPr="00DE1FF5">
        <w:t xml:space="preserve"> include both brand and generic and all dosage forms and strengths unless otherwise stated. </w:t>
      </w:r>
      <w:r w:rsidR="007C03A8">
        <w:t>Over</w:t>
      </w:r>
      <w:r w:rsidR="00B322F6">
        <w:t>-</w:t>
      </w:r>
      <w:r w:rsidR="007C03A8">
        <w:t>the</w:t>
      </w:r>
      <w:r w:rsidR="00B322F6">
        <w:t>-</w:t>
      </w:r>
      <w:r w:rsidR="007C03A8">
        <w:t>counter (</w:t>
      </w:r>
      <w:r w:rsidRPr="00DE1FF5">
        <w:t>OTC</w:t>
      </w:r>
      <w:r w:rsidR="007C03A8">
        <w:t>)</w:t>
      </w:r>
      <w:r w:rsidRPr="00DE1FF5">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5B4D7C" w:rsidRPr="00DE1FF5" w14:paraId="2FAE2C79" w14:textId="77777777">
        <w:trPr>
          <w:cantSplit/>
          <w:trHeight w:val="288"/>
          <w:tblHeader/>
        </w:trPr>
        <w:tc>
          <w:tcPr>
            <w:tcW w:w="5265" w:type="dxa"/>
            <w:vAlign w:val="center"/>
          </w:tcPr>
          <w:p w14:paraId="04DCBE67" w14:textId="77777777" w:rsidR="005B4D7C" w:rsidRPr="00DE1FF5" w:rsidRDefault="005B4D7C">
            <w:pPr>
              <w:pStyle w:val="TableHeader"/>
            </w:pPr>
            <w:r w:rsidRPr="00DE1FF5">
              <w:t>Brand Name</w:t>
            </w:r>
          </w:p>
        </w:tc>
        <w:tc>
          <w:tcPr>
            <w:tcW w:w="5595" w:type="dxa"/>
            <w:vAlign w:val="center"/>
          </w:tcPr>
          <w:p w14:paraId="23813A81" w14:textId="77777777" w:rsidR="005B4D7C" w:rsidRPr="00DE1FF5" w:rsidRDefault="005B4D7C">
            <w:pPr>
              <w:pStyle w:val="TableHeader"/>
            </w:pPr>
            <w:r w:rsidRPr="00DE1FF5">
              <w:t>Generic Name</w:t>
            </w:r>
          </w:p>
        </w:tc>
      </w:tr>
      <w:tr w:rsidR="005B4D7C" w:rsidRPr="00DE1FF5" w14:paraId="3100885F" w14:textId="77777777">
        <w:trPr>
          <w:cantSplit/>
        </w:trPr>
        <w:tc>
          <w:tcPr>
            <w:tcW w:w="5265" w:type="dxa"/>
          </w:tcPr>
          <w:p w14:paraId="47ECEDFB" w14:textId="77777777" w:rsidR="005B4D7C" w:rsidRPr="00DE1FF5" w:rsidRDefault="00321235">
            <w:pPr>
              <w:pStyle w:val="TableDataUnpadded"/>
            </w:pPr>
            <w:r w:rsidRPr="00DE1FF5">
              <w:t>almotriptan (all brands)</w:t>
            </w:r>
          </w:p>
        </w:tc>
        <w:tc>
          <w:tcPr>
            <w:tcW w:w="5595" w:type="dxa"/>
          </w:tcPr>
          <w:p w14:paraId="67728FB9" w14:textId="77777777" w:rsidR="005B4D7C" w:rsidRPr="00DE1FF5" w:rsidRDefault="00321235">
            <w:pPr>
              <w:pStyle w:val="TableDataUnpadded"/>
            </w:pPr>
            <w:r w:rsidRPr="00DE1FF5">
              <w:t>almotriptan</w:t>
            </w:r>
          </w:p>
        </w:tc>
      </w:tr>
      <w:tr w:rsidR="005B4D7C" w:rsidRPr="00DE1FF5" w14:paraId="260AF01F" w14:textId="77777777">
        <w:trPr>
          <w:cantSplit/>
        </w:trPr>
        <w:tc>
          <w:tcPr>
            <w:tcW w:w="5265" w:type="dxa"/>
          </w:tcPr>
          <w:p w14:paraId="7C7C6805" w14:textId="77777777" w:rsidR="005B4D7C" w:rsidRPr="00DE1FF5" w:rsidRDefault="00321235">
            <w:pPr>
              <w:pStyle w:val="TableDataUnpadded"/>
            </w:pPr>
            <w:r w:rsidRPr="00DE1FF5">
              <w:t>Frova</w:t>
            </w:r>
          </w:p>
        </w:tc>
        <w:tc>
          <w:tcPr>
            <w:tcW w:w="5595" w:type="dxa"/>
          </w:tcPr>
          <w:p w14:paraId="4BAF7AE8" w14:textId="77777777" w:rsidR="005B4D7C" w:rsidRPr="00DE1FF5" w:rsidRDefault="00321235">
            <w:pPr>
              <w:pStyle w:val="TableDataUnpadded"/>
            </w:pPr>
            <w:r w:rsidRPr="00DE1FF5">
              <w:t>frovatriptan</w:t>
            </w:r>
          </w:p>
        </w:tc>
      </w:tr>
      <w:tr w:rsidR="005B4D7C" w:rsidRPr="00DE1FF5" w14:paraId="7D892434" w14:textId="77777777">
        <w:trPr>
          <w:cantSplit/>
        </w:trPr>
        <w:tc>
          <w:tcPr>
            <w:tcW w:w="5265" w:type="dxa"/>
          </w:tcPr>
          <w:p w14:paraId="0CAAA6F0" w14:textId="77777777" w:rsidR="005B4D7C" w:rsidRPr="00DE1FF5" w:rsidRDefault="00321235">
            <w:pPr>
              <w:pStyle w:val="TableDataUnpadded"/>
            </w:pPr>
            <w:r w:rsidRPr="00DE1FF5">
              <w:t>Imitrex</w:t>
            </w:r>
          </w:p>
        </w:tc>
        <w:tc>
          <w:tcPr>
            <w:tcW w:w="5595" w:type="dxa"/>
          </w:tcPr>
          <w:p w14:paraId="09D2F838" w14:textId="77777777" w:rsidR="005B4D7C" w:rsidRPr="00DE1FF5" w:rsidRDefault="00321235">
            <w:pPr>
              <w:pStyle w:val="TableDataUnpadded"/>
            </w:pPr>
            <w:r w:rsidRPr="00DE1FF5">
              <w:t xml:space="preserve">sumatriptan </w:t>
            </w:r>
          </w:p>
        </w:tc>
      </w:tr>
      <w:tr w:rsidR="00321235" w:rsidRPr="00DE1FF5" w14:paraId="3A1B8B25" w14:textId="77777777">
        <w:trPr>
          <w:cantSplit/>
        </w:trPr>
        <w:tc>
          <w:tcPr>
            <w:tcW w:w="5265" w:type="dxa"/>
          </w:tcPr>
          <w:p w14:paraId="113ED102" w14:textId="77777777" w:rsidR="00321235" w:rsidRPr="00DE1FF5" w:rsidRDefault="00321235">
            <w:pPr>
              <w:pStyle w:val="TableDataUnpadded"/>
            </w:pPr>
            <w:r w:rsidRPr="00DE1FF5">
              <w:t>Maxalt/Maxalt-M</w:t>
            </w:r>
            <w:r w:rsidR="007A535B">
              <w:t>LT</w:t>
            </w:r>
          </w:p>
        </w:tc>
        <w:tc>
          <w:tcPr>
            <w:tcW w:w="5595" w:type="dxa"/>
          </w:tcPr>
          <w:p w14:paraId="31E505C8" w14:textId="77777777" w:rsidR="00321235" w:rsidRPr="00DE1FF5" w:rsidRDefault="00321235">
            <w:pPr>
              <w:pStyle w:val="TableDataUnpadded"/>
            </w:pPr>
            <w:r w:rsidRPr="00DE1FF5">
              <w:t xml:space="preserve">rizatriptan </w:t>
            </w:r>
          </w:p>
        </w:tc>
      </w:tr>
      <w:tr w:rsidR="00321235" w:rsidRPr="00DE1FF5" w14:paraId="163DD32F" w14:textId="77777777">
        <w:trPr>
          <w:cantSplit/>
        </w:trPr>
        <w:tc>
          <w:tcPr>
            <w:tcW w:w="5265" w:type="dxa"/>
          </w:tcPr>
          <w:p w14:paraId="4DB5DAD7" w14:textId="77777777" w:rsidR="00321235" w:rsidRPr="00DE1FF5" w:rsidRDefault="00321235">
            <w:pPr>
              <w:pStyle w:val="TableDataUnpadded"/>
            </w:pPr>
            <w:r w:rsidRPr="00DE1FF5">
              <w:t>naratriptan (all brands)</w:t>
            </w:r>
          </w:p>
        </w:tc>
        <w:tc>
          <w:tcPr>
            <w:tcW w:w="5595" w:type="dxa"/>
          </w:tcPr>
          <w:p w14:paraId="5499401F" w14:textId="77777777" w:rsidR="00321235" w:rsidRPr="00DE1FF5" w:rsidRDefault="00321235">
            <w:pPr>
              <w:pStyle w:val="TableDataUnpadded"/>
            </w:pPr>
            <w:r w:rsidRPr="00DE1FF5">
              <w:t xml:space="preserve">naratriptan </w:t>
            </w:r>
          </w:p>
        </w:tc>
      </w:tr>
      <w:tr w:rsidR="00321235" w:rsidRPr="00DE1FF5" w14:paraId="31003D73" w14:textId="77777777">
        <w:trPr>
          <w:cantSplit/>
        </w:trPr>
        <w:tc>
          <w:tcPr>
            <w:tcW w:w="5265" w:type="dxa"/>
          </w:tcPr>
          <w:p w14:paraId="5CDB7775" w14:textId="77777777" w:rsidR="00321235" w:rsidRPr="00DE1FF5" w:rsidRDefault="00321235">
            <w:pPr>
              <w:pStyle w:val="TableDataUnpadded"/>
            </w:pPr>
            <w:r w:rsidRPr="00DE1FF5">
              <w:t>Onzetra Xsail</w:t>
            </w:r>
          </w:p>
        </w:tc>
        <w:tc>
          <w:tcPr>
            <w:tcW w:w="5595" w:type="dxa"/>
          </w:tcPr>
          <w:p w14:paraId="6A82A4FC" w14:textId="77777777" w:rsidR="00321235" w:rsidRPr="00DE1FF5" w:rsidRDefault="00321235">
            <w:pPr>
              <w:pStyle w:val="TableDataUnpadded"/>
            </w:pPr>
            <w:r w:rsidRPr="00DE1FF5">
              <w:t xml:space="preserve">sumatriptan </w:t>
            </w:r>
          </w:p>
        </w:tc>
      </w:tr>
      <w:tr w:rsidR="00321235" w:rsidRPr="00DE1FF5" w14:paraId="5D5AFB54" w14:textId="77777777">
        <w:trPr>
          <w:cantSplit/>
        </w:trPr>
        <w:tc>
          <w:tcPr>
            <w:tcW w:w="5265" w:type="dxa"/>
          </w:tcPr>
          <w:p w14:paraId="71423FD0" w14:textId="77777777" w:rsidR="00321235" w:rsidRPr="00DE1FF5" w:rsidRDefault="00321235">
            <w:pPr>
              <w:pStyle w:val="TableDataUnpadded"/>
            </w:pPr>
            <w:r w:rsidRPr="00DE1FF5">
              <w:t>Relpax</w:t>
            </w:r>
          </w:p>
        </w:tc>
        <w:tc>
          <w:tcPr>
            <w:tcW w:w="5595" w:type="dxa"/>
          </w:tcPr>
          <w:p w14:paraId="15970301" w14:textId="77777777" w:rsidR="00321235" w:rsidRPr="00DE1FF5" w:rsidRDefault="00321235">
            <w:pPr>
              <w:pStyle w:val="TableDataUnpadded"/>
            </w:pPr>
            <w:r w:rsidRPr="00DE1FF5">
              <w:t xml:space="preserve">eletriptan </w:t>
            </w:r>
          </w:p>
        </w:tc>
      </w:tr>
      <w:tr w:rsidR="00321235" w:rsidRPr="00DE1FF5" w14:paraId="180CC430" w14:textId="77777777">
        <w:trPr>
          <w:cantSplit/>
        </w:trPr>
        <w:tc>
          <w:tcPr>
            <w:tcW w:w="5265" w:type="dxa"/>
          </w:tcPr>
          <w:p w14:paraId="0668A7AD" w14:textId="77777777" w:rsidR="00321235" w:rsidRPr="00DE1FF5" w:rsidRDefault="00321235">
            <w:pPr>
              <w:pStyle w:val="TableDataUnpadded"/>
            </w:pPr>
            <w:r w:rsidRPr="00DE1FF5">
              <w:t>Riza</w:t>
            </w:r>
            <w:r w:rsidR="0042256D">
              <w:t>F</w:t>
            </w:r>
            <w:r w:rsidRPr="00DE1FF5">
              <w:t>ilm</w:t>
            </w:r>
          </w:p>
        </w:tc>
        <w:tc>
          <w:tcPr>
            <w:tcW w:w="5595" w:type="dxa"/>
          </w:tcPr>
          <w:p w14:paraId="77F5495F" w14:textId="77777777" w:rsidR="00321235" w:rsidRPr="00DE1FF5" w:rsidRDefault="00321235">
            <w:pPr>
              <w:pStyle w:val="TableDataUnpadded"/>
            </w:pPr>
            <w:r w:rsidRPr="00DE1FF5">
              <w:t xml:space="preserve">rizatriptan </w:t>
            </w:r>
          </w:p>
        </w:tc>
      </w:tr>
      <w:tr w:rsidR="00CC1FCA" w:rsidRPr="00DE1FF5" w14:paraId="53169D0A" w14:textId="77777777">
        <w:trPr>
          <w:cantSplit/>
        </w:trPr>
        <w:tc>
          <w:tcPr>
            <w:tcW w:w="5265" w:type="dxa"/>
          </w:tcPr>
          <w:p w14:paraId="229D258E" w14:textId="1307AFFC" w:rsidR="00CC1FCA" w:rsidRPr="00DE1FF5" w:rsidRDefault="00CC1FCA" w:rsidP="00CC1FCA">
            <w:pPr>
              <w:pStyle w:val="TableDataUnpadded"/>
            </w:pPr>
            <w:proofErr w:type="spellStart"/>
            <w:r>
              <w:t>Symbravo</w:t>
            </w:r>
            <w:proofErr w:type="spellEnd"/>
          </w:p>
        </w:tc>
        <w:tc>
          <w:tcPr>
            <w:tcW w:w="5595" w:type="dxa"/>
          </w:tcPr>
          <w:p w14:paraId="01B68B9C" w14:textId="28F71F87" w:rsidR="00CC1FCA" w:rsidRPr="00DE1FF5" w:rsidRDefault="00CC1FCA" w:rsidP="00CC1FCA">
            <w:pPr>
              <w:pStyle w:val="TableDataUnpadded"/>
            </w:pPr>
            <w:r>
              <w:t>meloxicam/rizatriptan</w:t>
            </w:r>
          </w:p>
        </w:tc>
      </w:tr>
      <w:tr w:rsidR="00321235" w:rsidRPr="00DE1FF5" w14:paraId="706F52DD" w14:textId="77777777">
        <w:trPr>
          <w:cantSplit/>
        </w:trPr>
        <w:tc>
          <w:tcPr>
            <w:tcW w:w="5265" w:type="dxa"/>
          </w:tcPr>
          <w:p w14:paraId="3CCF36E3" w14:textId="77777777" w:rsidR="00321235" w:rsidRPr="00DE1FF5" w:rsidRDefault="00321235">
            <w:pPr>
              <w:pStyle w:val="TableDataUnpadded"/>
            </w:pPr>
            <w:r w:rsidRPr="00DE1FF5">
              <w:t>Tosymra</w:t>
            </w:r>
          </w:p>
        </w:tc>
        <w:tc>
          <w:tcPr>
            <w:tcW w:w="5595" w:type="dxa"/>
          </w:tcPr>
          <w:p w14:paraId="747966F2" w14:textId="77777777" w:rsidR="00321235" w:rsidRPr="00DE1FF5" w:rsidRDefault="00321235">
            <w:pPr>
              <w:pStyle w:val="TableDataUnpadded"/>
            </w:pPr>
            <w:r w:rsidRPr="00DE1FF5">
              <w:t xml:space="preserve">sumatriptan </w:t>
            </w:r>
          </w:p>
        </w:tc>
      </w:tr>
      <w:tr w:rsidR="00321235" w:rsidRPr="00DE1FF5" w14:paraId="267FB20D" w14:textId="77777777">
        <w:trPr>
          <w:cantSplit/>
        </w:trPr>
        <w:tc>
          <w:tcPr>
            <w:tcW w:w="5265" w:type="dxa"/>
          </w:tcPr>
          <w:p w14:paraId="79CAD959" w14:textId="77777777" w:rsidR="00321235" w:rsidRPr="00DE1FF5" w:rsidRDefault="00321235">
            <w:pPr>
              <w:pStyle w:val="TableDataUnpadded"/>
            </w:pPr>
            <w:r w:rsidRPr="00DE1FF5">
              <w:t>Treximet</w:t>
            </w:r>
          </w:p>
        </w:tc>
        <w:tc>
          <w:tcPr>
            <w:tcW w:w="5595" w:type="dxa"/>
          </w:tcPr>
          <w:p w14:paraId="76012F47" w14:textId="77777777" w:rsidR="00321235" w:rsidRPr="00DE1FF5" w:rsidRDefault="00321235">
            <w:pPr>
              <w:pStyle w:val="TableDataUnpadded"/>
            </w:pPr>
            <w:r w:rsidRPr="00DE1FF5">
              <w:t xml:space="preserve">sumatriptan/naproxen </w:t>
            </w:r>
          </w:p>
        </w:tc>
      </w:tr>
      <w:tr w:rsidR="00321235" w:rsidRPr="00DE1FF5" w14:paraId="3A69C317" w14:textId="77777777">
        <w:trPr>
          <w:cantSplit/>
        </w:trPr>
        <w:tc>
          <w:tcPr>
            <w:tcW w:w="5265" w:type="dxa"/>
          </w:tcPr>
          <w:p w14:paraId="0BDE6EEC" w14:textId="77777777" w:rsidR="00321235" w:rsidRPr="00DE1FF5" w:rsidRDefault="00321235">
            <w:pPr>
              <w:pStyle w:val="TableDataUnpadded"/>
            </w:pPr>
            <w:r w:rsidRPr="00DE1FF5">
              <w:t>Zembrace Sym</w:t>
            </w:r>
            <w:r w:rsidR="007A535B">
              <w:t>T</w:t>
            </w:r>
            <w:r w:rsidRPr="00DE1FF5">
              <w:t>ouch</w:t>
            </w:r>
          </w:p>
        </w:tc>
        <w:tc>
          <w:tcPr>
            <w:tcW w:w="5595" w:type="dxa"/>
          </w:tcPr>
          <w:p w14:paraId="6F52112C" w14:textId="77777777" w:rsidR="00321235" w:rsidRPr="00DE1FF5" w:rsidRDefault="00321235">
            <w:pPr>
              <w:pStyle w:val="TableDataUnpadded"/>
            </w:pPr>
            <w:r w:rsidRPr="00DE1FF5">
              <w:t xml:space="preserve">sumatriptan </w:t>
            </w:r>
          </w:p>
        </w:tc>
      </w:tr>
      <w:tr w:rsidR="00321235" w:rsidRPr="00DE1FF5" w14:paraId="74C939BF" w14:textId="77777777">
        <w:trPr>
          <w:cantSplit/>
        </w:trPr>
        <w:tc>
          <w:tcPr>
            <w:tcW w:w="5265" w:type="dxa"/>
          </w:tcPr>
          <w:p w14:paraId="066E17CF" w14:textId="77777777" w:rsidR="00321235" w:rsidRPr="00DE1FF5" w:rsidRDefault="00321235">
            <w:pPr>
              <w:pStyle w:val="TableDataUnpadded"/>
            </w:pPr>
            <w:r w:rsidRPr="00DE1FF5">
              <w:t>Zomig</w:t>
            </w:r>
          </w:p>
        </w:tc>
        <w:tc>
          <w:tcPr>
            <w:tcW w:w="5595" w:type="dxa"/>
          </w:tcPr>
          <w:p w14:paraId="48941A7E" w14:textId="77777777" w:rsidR="00321235" w:rsidRPr="00DE1FF5" w:rsidRDefault="00321235">
            <w:pPr>
              <w:pStyle w:val="TableDataUnpadded"/>
            </w:pPr>
            <w:r w:rsidRPr="00DE1FF5">
              <w:t xml:space="preserve">zolmitriptan </w:t>
            </w:r>
          </w:p>
        </w:tc>
      </w:tr>
      <w:tr w:rsidR="00321235" w:rsidRPr="00DE1FF5" w14:paraId="546F8884" w14:textId="77777777">
        <w:trPr>
          <w:cantSplit/>
        </w:trPr>
        <w:tc>
          <w:tcPr>
            <w:tcW w:w="5265" w:type="dxa"/>
          </w:tcPr>
          <w:p w14:paraId="66B95CC1" w14:textId="77777777" w:rsidR="00321235" w:rsidRPr="00DE1FF5" w:rsidRDefault="00321235">
            <w:pPr>
              <w:pStyle w:val="TableDataUnpadded"/>
            </w:pPr>
            <w:r w:rsidRPr="00DE1FF5">
              <w:t>zolmitriptan (all other brands)</w:t>
            </w:r>
          </w:p>
        </w:tc>
        <w:tc>
          <w:tcPr>
            <w:tcW w:w="5595" w:type="dxa"/>
          </w:tcPr>
          <w:p w14:paraId="7028486E" w14:textId="77777777" w:rsidR="00321235" w:rsidRPr="00DE1FF5" w:rsidRDefault="00321235">
            <w:pPr>
              <w:pStyle w:val="TableDataUnpadded"/>
            </w:pPr>
            <w:r w:rsidRPr="00DE1FF5">
              <w:t xml:space="preserve">zolmitriptan </w:t>
            </w:r>
          </w:p>
        </w:tc>
      </w:tr>
    </w:tbl>
    <w:p w14:paraId="55D500CD" w14:textId="793CF5FF" w:rsidR="00FC1AAD" w:rsidRPr="00DE1FF5" w:rsidRDefault="00ED052F" w:rsidP="003D7FDF">
      <w:pPr>
        <w:pStyle w:val="Heading2"/>
        <w:tabs>
          <w:tab w:val="clear" w:pos="2880"/>
          <w:tab w:val="left" w:pos="9504"/>
        </w:tabs>
      </w:pPr>
      <w:r w:rsidRPr="00DE1FF5">
        <w:lastRenderedPageBreak/>
        <w:t>Indications</w:t>
      </w:r>
    </w:p>
    <w:p w14:paraId="678C91EF" w14:textId="32B6433B" w:rsidR="00ED052F" w:rsidRPr="00DE1FF5" w:rsidRDefault="00ED052F" w:rsidP="00ED052F">
      <w:pPr>
        <w:pStyle w:val="Heading3"/>
        <w:keepNext w:val="0"/>
      </w:pPr>
      <w:r w:rsidRPr="00DE1FF5">
        <w:t>FDA-</w:t>
      </w:r>
      <w:r w:rsidR="00981F25">
        <w:t>a</w:t>
      </w:r>
      <w:r w:rsidR="00981F25" w:rsidRPr="00DE1FF5">
        <w:t xml:space="preserve">pproved </w:t>
      </w:r>
      <w:r w:rsidRPr="00DE1FF5">
        <w:t>Indications</w:t>
      </w:r>
    </w:p>
    <w:p w14:paraId="16C77962" w14:textId="153DF133" w:rsidR="00252501" w:rsidRPr="00DE1FF5" w:rsidRDefault="00252501" w:rsidP="00252501">
      <w:pPr>
        <w:pStyle w:val="Heading4"/>
      </w:pPr>
      <w:r w:rsidRPr="00DE1FF5">
        <w:t>Almotriptan</w:t>
      </w:r>
    </w:p>
    <w:p w14:paraId="7D886C3B" w14:textId="77777777" w:rsidR="00252501" w:rsidRPr="00DE1FF5" w:rsidRDefault="00252501" w:rsidP="002B7BD9">
      <w:pPr>
        <w:pStyle w:val="BodyText"/>
      </w:pPr>
      <w:r w:rsidRPr="00DE1FF5">
        <w:t xml:space="preserve">Adults: </w:t>
      </w:r>
      <w:bookmarkStart w:id="0" w:name="_Hlk74669211"/>
      <w:bookmarkStart w:id="1" w:name="_Hlk74669248"/>
      <w:r w:rsidRPr="00DE1FF5">
        <w:t xml:space="preserve">Almotriptan </w:t>
      </w:r>
      <w:bookmarkEnd w:id="0"/>
      <w:bookmarkEnd w:id="1"/>
      <w:r w:rsidRPr="00DE1FF5">
        <w:t>tablets are indicated for the acute treatment of migraine attacks in patients with a history of migraine with or without aura.</w:t>
      </w:r>
    </w:p>
    <w:p w14:paraId="75AD0625" w14:textId="77777777" w:rsidR="00252501" w:rsidRPr="00DE1FF5" w:rsidRDefault="00252501" w:rsidP="002B7BD9">
      <w:pPr>
        <w:pStyle w:val="BodyText"/>
      </w:pPr>
      <w:r w:rsidRPr="00DE1FF5">
        <w:t xml:space="preserve">Adolescents </w:t>
      </w:r>
      <w:proofErr w:type="gramStart"/>
      <w:r w:rsidRPr="00DE1FF5">
        <w:t>Age</w:t>
      </w:r>
      <w:proofErr w:type="gramEnd"/>
      <w:r w:rsidRPr="00DE1FF5">
        <w:t xml:space="preserve"> 12 to 17 Years: Almotriptan tablets</w:t>
      </w:r>
      <w:r w:rsidRPr="00DE1FF5" w:rsidDel="004A249B">
        <w:t xml:space="preserve"> </w:t>
      </w:r>
      <w:r w:rsidRPr="00DE1FF5">
        <w:t>are indicated for the acute treatment of migraine headache pain in patients with a history of migraine attacks with or without aura usually lasting 4 hours or more (when untreated).</w:t>
      </w:r>
    </w:p>
    <w:p w14:paraId="09D1BD3E" w14:textId="77777777" w:rsidR="00252501" w:rsidRPr="00DE1FF5" w:rsidRDefault="00252501" w:rsidP="002B7BD9">
      <w:pPr>
        <w:pStyle w:val="Heading5"/>
      </w:pPr>
      <w:r w:rsidRPr="00DE1FF5">
        <w:t>Limitations of Use</w:t>
      </w:r>
    </w:p>
    <w:p w14:paraId="4E55BA7B" w14:textId="77777777" w:rsidR="00252501" w:rsidRPr="00DE1FF5" w:rsidRDefault="00252501" w:rsidP="002B7BD9">
      <w:pPr>
        <w:pStyle w:val="BodyText"/>
        <w:rPr>
          <w:b/>
        </w:rPr>
      </w:pPr>
      <w:r w:rsidRPr="00DE1FF5">
        <w:t>Almotriptan tablets</w:t>
      </w:r>
      <w:r w:rsidRPr="00DE1FF5" w:rsidDel="004A249B">
        <w:t xml:space="preserve"> </w:t>
      </w:r>
      <w:r w:rsidRPr="00DE1FF5">
        <w:t xml:space="preserve">should only be used where a clear diagnosis of migraine has been established. If a patient has no response for the first migraine attack treated with almotriptan tablets, the diagnosis of migraine should be reconsidered before almotriptan tablets are administered to treat any subsequent attacks. In adolescents </w:t>
      </w:r>
      <w:proofErr w:type="gramStart"/>
      <w:r w:rsidRPr="00DE1FF5">
        <w:t>age</w:t>
      </w:r>
      <w:proofErr w:type="gramEnd"/>
      <w:r w:rsidRPr="00DE1FF5">
        <w:t xml:space="preserve"> 12 to 17 years, efficacy of almotriptan tablets</w:t>
      </w:r>
      <w:r w:rsidRPr="00DE1FF5" w:rsidDel="004A249B">
        <w:t xml:space="preserve"> </w:t>
      </w:r>
      <w:r w:rsidRPr="00DE1FF5">
        <w:t xml:space="preserve">on migraine-associated symptoms (nausea, photophobia, and phonophobia) was not established. Almotriptan tablets are not intended for the prophylactic therapy of migraine or for use in the management of hemiplegic or basilar migraine. Safety and effectiveness of almotriptan tablets have not been established for cluster </w:t>
      </w:r>
      <w:proofErr w:type="gramStart"/>
      <w:r w:rsidRPr="00DE1FF5">
        <w:t>headache</w:t>
      </w:r>
      <w:proofErr w:type="gramEnd"/>
      <w:r w:rsidRPr="00DE1FF5">
        <w:t xml:space="preserve"> which is present in an older, predominantly male population.</w:t>
      </w:r>
    </w:p>
    <w:p w14:paraId="49DFDB0C" w14:textId="77777777" w:rsidR="00252501" w:rsidRPr="00DE1FF5" w:rsidRDefault="00252501" w:rsidP="002B7BD9">
      <w:pPr>
        <w:pStyle w:val="Heading4"/>
      </w:pPr>
      <w:r w:rsidRPr="00DE1FF5">
        <w:t>Frova</w:t>
      </w:r>
    </w:p>
    <w:p w14:paraId="2BE33773" w14:textId="045ADEF0" w:rsidR="00252501" w:rsidRPr="00DE1FF5" w:rsidRDefault="00252501" w:rsidP="002B7BD9">
      <w:pPr>
        <w:pStyle w:val="BodyText"/>
      </w:pPr>
      <w:r w:rsidRPr="00DE1FF5">
        <w:t>Frova is indicated for the acute treatment of migraine with or without aura in adults.</w:t>
      </w:r>
    </w:p>
    <w:p w14:paraId="46D2F352" w14:textId="77777777" w:rsidR="00252501" w:rsidRPr="00DE1FF5" w:rsidRDefault="00252501" w:rsidP="002B7BD9">
      <w:pPr>
        <w:pStyle w:val="Heading5"/>
      </w:pPr>
      <w:r w:rsidRPr="00DE1FF5">
        <w:t>Limitations of Use</w:t>
      </w:r>
    </w:p>
    <w:p w14:paraId="25CD61A3" w14:textId="77777777" w:rsidR="00252501" w:rsidRPr="00DE1FF5" w:rsidRDefault="00252501" w:rsidP="002B7BD9">
      <w:pPr>
        <w:pStyle w:val="BodyText"/>
      </w:pPr>
      <w:r w:rsidRPr="00DE1FF5">
        <w:t>Use only if a clear diagnosis of migraine has been established. If a patient has no response for the first migraine attack treated with Frova, reconsider the diagnosis of migraine before Frova is administered to treat any subsequent attacks. Frova is not indicated for the prevention of migraine attacks. Safety and effectiveness of Frova have not been established for cluster headache.</w:t>
      </w:r>
    </w:p>
    <w:p w14:paraId="532783AE" w14:textId="77777777" w:rsidR="00252501" w:rsidRPr="00DE1FF5" w:rsidRDefault="00252501" w:rsidP="002B7BD9">
      <w:pPr>
        <w:pStyle w:val="Heading4"/>
      </w:pPr>
      <w:r w:rsidRPr="00DE1FF5">
        <w:t>Imitrex Injection</w:t>
      </w:r>
    </w:p>
    <w:p w14:paraId="2DF37F68" w14:textId="2D275383" w:rsidR="00252501" w:rsidRPr="00DE1FF5" w:rsidRDefault="00252501" w:rsidP="002B7BD9">
      <w:pPr>
        <w:pStyle w:val="BodyText"/>
        <w:rPr>
          <w:b/>
        </w:rPr>
      </w:pPr>
      <w:r w:rsidRPr="00DE1FF5">
        <w:t>Imitrex injection is indicated in adults for (1) the acute treatment of migraine, with or without aura, and (2) the acute treatment of cluster headache.</w:t>
      </w:r>
    </w:p>
    <w:p w14:paraId="716B8069" w14:textId="77777777" w:rsidR="00252501" w:rsidRPr="00DE1FF5" w:rsidRDefault="00252501" w:rsidP="002B7BD9">
      <w:pPr>
        <w:pStyle w:val="Heading5"/>
      </w:pPr>
      <w:r w:rsidRPr="00DE1FF5">
        <w:t>Limitations of Use</w:t>
      </w:r>
    </w:p>
    <w:p w14:paraId="442A2EDC" w14:textId="77777777" w:rsidR="00252501" w:rsidRPr="00DE1FF5" w:rsidRDefault="00252501" w:rsidP="002B7BD9">
      <w:pPr>
        <w:pStyle w:val="BodyText"/>
      </w:pPr>
      <w:r w:rsidRPr="00DE1FF5">
        <w:t>Use only if a clear diagnosis of migraine or cluster headache has been established. If a patient has no response to the first migraine or cluster headache attack treated with Imitrex injection, reconsider the diagnosis before Imitrex injection is administered to treat any subsequent attacks. Imitrex injection is not indicated for the prevention of migraine or cluster headache attacks.</w:t>
      </w:r>
    </w:p>
    <w:p w14:paraId="21548B5C" w14:textId="58BB9684" w:rsidR="00252501" w:rsidRPr="00DE1FF5" w:rsidRDefault="00252501" w:rsidP="002B7BD9">
      <w:pPr>
        <w:pStyle w:val="Heading4"/>
      </w:pPr>
      <w:r w:rsidRPr="00DE1FF5">
        <w:lastRenderedPageBreak/>
        <w:t>Imitrex Nasal Spray and Imitrex Tablets</w:t>
      </w:r>
    </w:p>
    <w:p w14:paraId="43730F4E" w14:textId="2F8A1C32" w:rsidR="00252501" w:rsidRPr="00DE1FF5" w:rsidRDefault="00252501" w:rsidP="002B7BD9">
      <w:pPr>
        <w:pStyle w:val="BodyText"/>
      </w:pPr>
      <w:r w:rsidRPr="00DE1FF5">
        <w:t>Imitrex Nasal Spray and Imitrex Tablets</w:t>
      </w:r>
      <w:r w:rsidRPr="00DE1FF5">
        <w:rPr>
          <w:b/>
        </w:rPr>
        <w:t xml:space="preserve"> </w:t>
      </w:r>
      <w:r w:rsidRPr="00DE1FF5">
        <w:t>are indicated for the acute treatment of migraine with or without aura in adults.</w:t>
      </w:r>
    </w:p>
    <w:p w14:paraId="301EF6BC" w14:textId="77777777" w:rsidR="00252501" w:rsidRPr="00DE1FF5" w:rsidRDefault="00252501" w:rsidP="00414BB2">
      <w:pPr>
        <w:pStyle w:val="Heading5"/>
        <w:keepNext w:val="0"/>
        <w:keepLines w:val="0"/>
        <w:widowControl w:val="0"/>
      </w:pPr>
      <w:r w:rsidRPr="00DE1FF5">
        <w:t>Limitations of Use</w:t>
      </w:r>
    </w:p>
    <w:p w14:paraId="2EEC4425" w14:textId="77777777" w:rsidR="00252501" w:rsidRPr="00DE1FF5" w:rsidRDefault="00252501" w:rsidP="00414BB2">
      <w:pPr>
        <w:pStyle w:val="BodyText"/>
        <w:widowControl w:val="0"/>
      </w:pPr>
      <w:r w:rsidRPr="00DE1FF5">
        <w:t>Use only if a clear diagnosis of migraine headache has been established. If a patient has no response to the first migraine attack treated with Imitrex, reconsider the diagnosis of migraine before Imitrex is administered to treat any subsequent attacks. Imitrex is not indicated for the prevention of migraine attacks. Safety and effectiveness of Imitrex nasal spray and Imitrex tablets have not been established for cluster headache.</w:t>
      </w:r>
    </w:p>
    <w:p w14:paraId="38FEFB9C" w14:textId="77777777" w:rsidR="00252501" w:rsidRPr="00DE1FF5" w:rsidRDefault="00252501" w:rsidP="002B7BD9">
      <w:pPr>
        <w:pStyle w:val="Heading4"/>
      </w:pPr>
      <w:r w:rsidRPr="00DE1FF5">
        <w:t>Maxalt and Maxalt-MLT</w:t>
      </w:r>
    </w:p>
    <w:p w14:paraId="2907640B" w14:textId="606886A0" w:rsidR="00252501" w:rsidRPr="00DE1FF5" w:rsidRDefault="00252501" w:rsidP="002B7BD9">
      <w:pPr>
        <w:pStyle w:val="BodyText"/>
        <w:rPr>
          <w:b/>
        </w:rPr>
      </w:pPr>
      <w:r w:rsidRPr="00DE1FF5">
        <w:t>Maxalt and Maxalt-MLT are indicated for the acute treatment of migraine with or without aura in adults and in pediatric patients 6 to 17 years old.</w:t>
      </w:r>
    </w:p>
    <w:p w14:paraId="1B95C1B4" w14:textId="77777777" w:rsidR="00252501" w:rsidRPr="00DE1FF5" w:rsidRDefault="00252501" w:rsidP="002B7BD9">
      <w:pPr>
        <w:pStyle w:val="Heading5"/>
      </w:pPr>
      <w:r w:rsidRPr="00DE1FF5">
        <w:t>Limitations of Use</w:t>
      </w:r>
    </w:p>
    <w:p w14:paraId="5B34E9B6" w14:textId="77777777" w:rsidR="00252501" w:rsidRPr="00DE1FF5" w:rsidRDefault="00252501" w:rsidP="002B7BD9">
      <w:pPr>
        <w:pStyle w:val="BodyText"/>
      </w:pPr>
      <w:r w:rsidRPr="00DE1FF5">
        <w:t>Maxalt should only be used where a clear diagnosis of migraine has been established. If a patient has no response for the first migraine attack treated with Maxalt, the diagnosis of migraine should be reconsidered before Maxalt is administered to treat any subsequent attacks. Maxalt is not indicated for use in the management of hemiplegic or basilar migraine. Maxalt is not indicated for the prevention of migraine attacks. Safety and effectiveness of Maxalt have not been established for cluster headache.</w:t>
      </w:r>
    </w:p>
    <w:p w14:paraId="17F6C45C" w14:textId="25018783" w:rsidR="00252501" w:rsidRPr="00DE1FF5" w:rsidRDefault="00252501" w:rsidP="002B7BD9">
      <w:pPr>
        <w:pStyle w:val="Heading4"/>
      </w:pPr>
      <w:r w:rsidRPr="00DE1FF5">
        <w:t>Naratriptan</w:t>
      </w:r>
    </w:p>
    <w:p w14:paraId="70D7BDB5" w14:textId="77777777" w:rsidR="00252501" w:rsidRPr="00DE1FF5" w:rsidRDefault="00252501" w:rsidP="002B7BD9">
      <w:pPr>
        <w:pStyle w:val="BodyText"/>
      </w:pPr>
      <w:r w:rsidRPr="00DE1FF5">
        <w:t>Naratriptan tablets are indicated for the acute treatment of migraine with or without aura in adults.</w:t>
      </w:r>
    </w:p>
    <w:p w14:paraId="1F95C31D" w14:textId="77777777" w:rsidR="00252501" w:rsidRPr="00DE1FF5" w:rsidRDefault="00252501" w:rsidP="002B7BD9">
      <w:pPr>
        <w:pStyle w:val="Heading5"/>
      </w:pPr>
      <w:r w:rsidRPr="00DE1FF5">
        <w:t>Limitations of Use</w:t>
      </w:r>
    </w:p>
    <w:p w14:paraId="4F6AFAD6" w14:textId="77777777" w:rsidR="00252501" w:rsidRPr="00DE1FF5" w:rsidRDefault="00252501" w:rsidP="002B7BD9">
      <w:pPr>
        <w:pStyle w:val="BodyText"/>
      </w:pPr>
      <w:r w:rsidRPr="00DE1FF5">
        <w:t xml:space="preserve">Use only if a clear diagnosis of migraine has been established. If a patient has no response to the first migraine attack treated with naratriptan tablets reconsider the diagnosis of migraine before naratriptan tablets are administered to treat any subsequent </w:t>
      </w:r>
      <w:bookmarkStart w:id="2" w:name="_Hlk164095044"/>
      <w:r w:rsidRPr="00DE1FF5">
        <w:t>attacks. N</w:t>
      </w:r>
      <w:bookmarkEnd w:id="2"/>
      <w:r w:rsidRPr="00DE1FF5">
        <w:t>aratriptan tablets are not indicated for the prevention of migraine attacks. Safety and effectiveness of naratriptan tablets have not been established for cluster headaches.</w:t>
      </w:r>
    </w:p>
    <w:p w14:paraId="5625D2A3" w14:textId="77777777" w:rsidR="00252501" w:rsidRPr="00DE1FF5" w:rsidRDefault="00252501" w:rsidP="002B7BD9">
      <w:pPr>
        <w:pStyle w:val="Heading4"/>
      </w:pPr>
      <w:r w:rsidRPr="00DE1FF5">
        <w:t>Onzetra Xsail</w:t>
      </w:r>
    </w:p>
    <w:p w14:paraId="040E8A77" w14:textId="77777777" w:rsidR="00252501" w:rsidRPr="00DE1FF5" w:rsidRDefault="00252501" w:rsidP="002B7BD9">
      <w:pPr>
        <w:pStyle w:val="BodyText"/>
      </w:pPr>
      <w:r w:rsidRPr="00DE1FF5">
        <w:t>Onzetra Xsail is indicated for the acute treatment of migraine with or without aura in adults.</w:t>
      </w:r>
    </w:p>
    <w:p w14:paraId="3CE2A324" w14:textId="77777777" w:rsidR="00252501" w:rsidRPr="00DE1FF5" w:rsidRDefault="00252501" w:rsidP="002B7BD9">
      <w:pPr>
        <w:pStyle w:val="Heading5"/>
      </w:pPr>
      <w:r w:rsidRPr="00DE1FF5">
        <w:t>Limitations of Use</w:t>
      </w:r>
    </w:p>
    <w:p w14:paraId="5D99607C" w14:textId="77777777" w:rsidR="00252501" w:rsidRPr="00DE1FF5" w:rsidRDefault="00252501" w:rsidP="002B7BD9">
      <w:pPr>
        <w:pStyle w:val="BodyText"/>
      </w:pPr>
      <w:r w:rsidRPr="00DE1FF5">
        <w:t>Use only if a clear diagnosis of migraine has been established. If a patient has no response to the first migraine attack treated with Onzetra Xsail, reconsider the diagnosis of migraine before treatment of subsequent attacks with Onzetra Xsail. Onzetra Xsail is not indicated for the prevention of migraine attacks. Safety and effectiveness of Onzetra Xsail have not been established for the treatment of cluster headache.</w:t>
      </w:r>
    </w:p>
    <w:p w14:paraId="60176F07" w14:textId="46B868D5" w:rsidR="00252501" w:rsidRPr="00DE1FF5" w:rsidRDefault="00252501" w:rsidP="002B7BD9">
      <w:pPr>
        <w:pStyle w:val="Heading4"/>
      </w:pPr>
      <w:r w:rsidRPr="00DE1FF5">
        <w:lastRenderedPageBreak/>
        <w:t>Relpax</w:t>
      </w:r>
    </w:p>
    <w:p w14:paraId="7E0B54A7" w14:textId="2B9A8EB8" w:rsidR="00252501" w:rsidRPr="00DE1FF5" w:rsidRDefault="00252501" w:rsidP="002B7BD9">
      <w:pPr>
        <w:pStyle w:val="BodyText"/>
      </w:pPr>
      <w:r w:rsidRPr="00DE1FF5">
        <w:t>Relpax is indicated for the acute treatment of migraine attacks with or without aura in adults.</w:t>
      </w:r>
    </w:p>
    <w:p w14:paraId="13BB8734" w14:textId="77777777" w:rsidR="00252501" w:rsidRPr="00DE1FF5" w:rsidRDefault="00252501" w:rsidP="002B7BD9">
      <w:pPr>
        <w:pStyle w:val="Heading5"/>
      </w:pPr>
      <w:r w:rsidRPr="00DE1FF5">
        <w:t>Limitations of Use</w:t>
      </w:r>
    </w:p>
    <w:p w14:paraId="1C3E852C" w14:textId="77777777" w:rsidR="00252501" w:rsidRPr="00DE1FF5" w:rsidRDefault="00252501" w:rsidP="002B7BD9">
      <w:pPr>
        <w:pStyle w:val="BodyText"/>
      </w:pPr>
      <w:r w:rsidRPr="00DE1FF5">
        <w:t>Use only if a clear diagnosis of migraine has been established. If a patient has no response to the first migraine attack treated with Relpax, reconsider the diagnosis of migraine before Relpax is administered to treat any subsequent attacks. Relpax is not indicated for the prevention of migraine attacks. Safety and effectiveness of Relpax have not been established for the treatment of cluster headache.</w:t>
      </w:r>
    </w:p>
    <w:p w14:paraId="2587B411" w14:textId="77777777" w:rsidR="00252501" w:rsidRPr="00DE1FF5" w:rsidRDefault="00252501" w:rsidP="002B7BD9">
      <w:pPr>
        <w:pStyle w:val="Heading4"/>
      </w:pPr>
      <w:r w:rsidRPr="00DE1FF5">
        <w:t>RizaFilm</w:t>
      </w:r>
    </w:p>
    <w:p w14:paraId="6213A3CD" w14:textId="77777777" w:rsidR="00252501" w:rsidRPr="00DE1FF5" w:rsidRDefault="00252501" w:rsidP="002B7BD9">
      <w:pPr>
        <w:pStyle w:val="BodyText"/>
      </w:pPr>
      <w:r w:rsidRPr="00DE1FF5">
        <w:t>RizaFilm is indicated for the acute treatment of migraine with or without aura in adults and in pediatric patients 12 to 17 years of age weighing 40 kg or more.</w:t>
      </w:r>
    </w:p>
    <w:p w14:paraId="267FCF15" w14:textId="77777777" w:rsidR="00252501" w:rsidRPr="00DE1FF5" w:rsidRDefault="00252501" w:rsidP="002B7BD9">
      <w:pPr>
        <w:pStyle w:val="Heading5"/>
      </w:pPr>
      <w:r w:rsidRPr="00DE1FF5">
        <w:t>Limitations of Use</w:t>
      </w:r>
    </w:p>
    <w:p w14:paraId="103829C8" w14:textId="77777777" w:rsidR="00252501" w:rsidRPr="00DE1FF5" w:rsidRDefault="00252501" w:rsidP="002B7BD9">
      <w:pPr>
        <w:pStyle w:val="BodyText"/>
      </w:pPr>
      <w:r w:rsidRPr="00DE1FF5">
        <w:t>RizaFilm should only be used where a clear diagnosis of migraine has been established. If a patient has no response for the first migraine attack treated with RizaFilm, the diagnosis of migraine should be reconsidered before RizaFilm is administered to treat any subsequent attacks. RizaFilm is not indicated for the preventive treatment of migraine. Safety and effectiveness of RizaFilm have not been established for cluster headache.</w:t>
      </w:r>
    </w:p>
    <w:p w14:paraId="305B4A50" w14:textId="0BC47A7A" w:rsidR="0082142E" w:rsidRPr="00DE1FF5" w:rsidRDefault="0082142E" w:rsidP="0082142E">
      <w:pPr>
        <w:pStyle w:val="Heading4"/>
      </w:pPr>
      <w:proofErr w:type="spellStart"/>
      <w:r>
        <w:t>Symbravo</w:t>
      </w:r>
      <w:proofErr w:type="spellEnd"/>
    </w:p>
    <w:p w14:paraId="393EB980" w14:textId="6361EC6D" w:rsidR="0082142E" w:rsidRPr="00DE1FF5" w:rsidRDefault="0082142E" w:rsidP="0082142E">
      <w:pPr>
        <w:pStyle w:val="BodyText"/>
      </w:pPr>
      <w:proofErr w:type="spellStart"/>
      <w:r>
        <w:t>Symbravo</w:t>
      </w:r>
      <w:proofErr w:type="spellEnd"/>
      <w:r>
        <w:t xml:space="preserve"> is</w:t>
      </w:r>
      <w:r w:rsidRPr="00DE1FF5">
        <w:t xml:space="preserve"> indicated for the acute treatment of migraine with or without aura in adults.</w:t>
      </w:r>
    </w:p>
    <w:p w14:paraId="365F468E" w14:textId="77777777" w:rsidR="0082142E" w:rsidRPr="00DE1FF5" w:rsidRDefault="0082142E" w:rsidP="0082142E">
      <w:pPr>
        <w:pStyle w:val="Heading5"/>
      </w:pPr>
      <w:r w:rsidRPr="00DE1FF5">
        <w:t>Limitations of Use</w:t>
      </w:r>
    </w:p>
    <w:p w14:paraId="00229460" w14:textId="41221297" w:rsidR="0082142E" w:rsidRPr="00DE1FF5" w:rsidRDefault="00636857" w:rsidP="0082142E">
      <w:pPr>
        <w:pStyle w:val="BodyText"/>
      </w:pPr>
      <w:r>
        <w:t>U</w:t>
      </w:r>
      <w:r w:rsidR="00E9441C">
        <w:t>se</w:t>
      </w:r>
      <w:r w:rsidR="00C21439">
        <w:t xml:space="preserve"> only</w:t>
      </w:r>
      <w:r w:rsidR="00E9441C">
        <w:t xml:space="preserve"> </w:t>
      </w:r>
      <w:r w:rsidR="00633EFA">
        <w:t xml:space="preserve">if a </w:t>
      </w:r>
      <w:r w:rsidR="0082142E" w:rsidRPr="00DE1FF5">
        <w:t xml:space="preserve">clear diagnosis of migraine has been established. If a patient has no response to the first migraine attack treated with </w:t>
      </w:r>
      <w:proofErr w:type="spellStart"/>
      <w:r w:rsidR="00E9441C">
        <w:t>Symbravo</w:t>
      </w:r>
      <w:proofErr w:type="spellEnd"/>
      <w:r w:rsidR="0082142E" w:rsidRPr="00DE1FF5">
        <w:t xml:space="preserve">, </w:t>
      </w:r>
      <w:r w:rsidR="00E9441C">
        <w:t xml:space="preserve">the diagnosis of migraine </w:t>
      </w:r>
      <w:r w:rsidR="001B52F0">
        <w:t xml:space="preserve">should be </w:t>
      </w:r>
      <w:r w:rsidR="0082142E" w:rsidRPr="00DE1FF5">
        <w:t>reconsider</w:t>
      </w:r>
      <w:r w:rsidR="001B52F0">
        <w:t>ed</w:t>
      </w:r>
      <w:r w:rsidR="0082142E" w:rsidRPr="00DE1FF5">
        <w:t xml:space="preserve"> before </w:t>
      </w:r>
      <w:proofErr w:type="spellStart"/>
      <w:r w:rsidR="001B52F0">
        <w:t>Symbravo</w:t>
      </w:r>
      <w:proofErr w:type="spellEnd"/>
      <w:r w:rsidR="0082142E" w:rsidRPr="00DE1FF5">
        <w:t xml:space="preserve"> is administered to treat any subsequent attacks. </w:t>
      </w:r>
      <w:proofErr w:type="spellStart"/>
      <w:r w:rsidR="001B52F0">
        <w:t>Symbravo</w:t>
      </w:r>
      <w:proofErr w:type="spellEnd"/>
      <w:r w:rsidR="0082142E" w:rsidRPr="00DE1FF5">
        <w:t xml:space="preserve"> is not indicated for the prevent</w:t>
      </w:r>
      <w:r w:rsidR="00177CC8">
        <w:t>ive</w:t>
      </w:r>
      <w:r w:rsidR="0082142E" w:rsidRPr="00DE1FF5">
        <w:t xml:space="preserve"> treatment of migraine</w:t>
      </w:r>
      <w:r w:rsidR="008D4F6A">
        <w:t xml:space="preserve"> attacks</w:t>
      </w:r>
      <w:r w:rsidR="0082142E" w:rsidRPr="00DE1FF5">
        <w:t xml:space="preserve">. </w:t>
      </w:r>
      <w:proofErr w:type="spellStart"/>
      <w:r w:rsidR="008D4F6A">
        <w:t>Symbravo</w:t>
      </w:r>
      <w:proofErr w:type="spellEnd"/>
      <w:r w:rsidR="0082142E" w:rsidRPr="00DE1FF5">
        <w:t xml:space="preserve"> is not indicated for the treatment of cluster headache.</w:t>
      </w:r>
    </w:p>
    <w:p w14:paraId="55A78644" w14:textId="77777777" w:rsidR="00252501" w:rsidRPr="00DE1FF5" w:rsidRDefault="00252501" w:rsidP="002B7BD9">
      <w:pPr>
        <w:pStyle w:val="Heading4"/>
      </w:pPr>
      <w:r w:rsidRPr="00DE1FF5">
        <w:t>Tosymra</w:t>
      </w:r>
    </w:p>
    <w:p w14:paraId="16D6C9C7" w14:textId="3EB80BA8" w:rsidR="00252501" w:rsidRPr="00DE1FF5" w:rsidRDefault="00252501" w:rsidP="002B7BD9">
      <w:pPr>
        <w:pStyle w:val="BodyText"/>
      </w:pPr>
      <w:r w:rsidRPr="00DE1FF5">
        <w:t>Tosymra is indicated for the acute treatment of migraine with or without aura in adults.</w:t>
      </w:r>
    </w:p>
    <w:p w14:paraId="4907A06C" w14:textId="77777777" w:rsidR="00252501" w:rsidRPr="00DE1FF5" w:rsidRDefault="00252501" w:rsidP="002B7BD9">
      <w:pPr>
        <w:pStyle w:val="Heading5"/>
      </w:pPr>
      <w:r w:rsidRPr="00DE1FF5">
        <w:t>Limitations of Use</w:t>
      </w:r>
    </w:p>
    <w:p w14:paraId="44A233DD" w14:textId="77777777" w:rsidR="00252501" w:rsidRPr="00DE1FF5" w:rsidRDefault="00252501" w:rsidP="002B7BD9">
      <w:pPr>
        <w:pStyle w:val="BodyText"/>
      </w:pPr>
      <w:r w:rsidRPr="00DE1FF5">
        <w:t>Use only if a clear diagnosis of migraine has been established. If a patient has no response to the first migraine attack treated with Tosymra, reconsider the diagnosis before Tosymra is administered to treat any subsequent attacks. Tosymra is not indicated for the preventive treatment of migraine. Tosymra is not indicated for the treatment of cluster headache.</w:t>
      </w:r>
    </w:p>
    <w:p w14:paraId="1DAC7CF4" w14:textId="35A401C0" w:rsidR="00252501" w:rsidRPr="00DE1FF5" w:rsidRDefault="00252501" w:rsidP="002B7BD9">
      <w:pPr>
        <w:pStyle w:val="Heading4"/>
      </w:pPr>
      <w:r w:rsidRPr="00DE1FF5">
        <w:t>Treximet</w:t>
      </w:r>
    </w:p>
    <w:p w14:paraId="7D42640B" w14:textId="6FE3F4CB" w:rsidR="00252501" w:rsidRPr="00DE1FF5" w:rsidRDefault="00252501" w:rsidP="002B7BD9">
      <w:pPr>
        <w:pStyle w:val="BodyText"/>
      </w:pPr>
      <w:r w:rsidRPr="00DE1FF5">
        <w:t>Treximet is indicated for the acute treatment of migraine with or without aura in adults and pediatric patients 12 years of age and older.</w:t>
      </w:r>
    </w:p>
    <w:p w14:paraId="7704FE2B" w14:textId="77777777" w:rsidR="00252501" w:rsidRPr="00DE1FF5" w:rsidRDefault="00252501" w:rsidP="002B7BD9">
      <w:pPr>
        <w:pStyle w:val="Heading5"/>
      </w:pPr>
      <w:r w:rsidRPr="00DE1FF5">
        <w:lastRenderedPageBreak/>
        <w:t>Limitations of Use</w:t>
      </w:r>
    </w:p>
    <w:p w14:paraId="1597A159" w14:textId="17330BFB" w:rsidR="00252501" w:rsidRPr="00DE1FF5" w:rsidRDefault="00252501" w:rsidP="002B7BD9">
      <w:pPr>
        <w:pStyle w:val="BodyText"/>
      </w:pPr>
      <w:r w:rsidRPr="00DE1FF5">
        <w:t>Use only if a clear diagnosis of migraine headache has been established. If a patient has no response to the first migraine attack treated with Treximet, reconsider the diagnosis of migraine before Treximet is administered to treat any subsequent attacks. Treximet is not indicated for the prevention of migraine attacks. Safety and effectiveness of Treximet have not been established for cluster headache.</w:t>
      </w:r>
    </w:p>
    <w:p w14:paraId="75159232" w14:textId="77777777" w:rsidR="00252501" w:rsidRPr="00DE1FF5" w:rsidRDefault="00252501" w:rsidP="002B7BD9">
      <w:pPr>
        <w:pStyle w:val="Heading4"/>
      </w:pPr>
      <w:r w:rsidRPr="00DE1FF5">
        <w:t>Zembrace SymTouch</w:t>
      </w:r>
    </w:p>
    <w:p w14:paraId="57967136" w14:textId="77777777" w:rsidR="00252501" w:rsidRPr="00DE1FF5" w:rsidRDefault="00252501" w:rsidP="002B7BD9">
      <w:pPr>
        <w:pStyle w:val="BodyText"/>
      </w:pPr>
      <w:r w:rsidRPr="00DE1FF5">
        <w:t>Zembrace SymTouch is indicated for the acute treatment of migraine with or without aura in adults.</w:t>
      </w:r>
    </w:p>
    <w:p w14:paraId="418217EF" w14:textId="77777777" w:rsidR="00252501" w:rsidRPr="00DE1FF5" w:rsidRDefault="00252501" w:rsidP="002B7BD9">
      <w:pPr>
        <w:pStyle w:val="Heading5"/>
      </w:pPr>
      <w:r w:rsidRPr="00DE1FF5">
        <w:t>Limitations of Use</w:t>
      </w:r>
    </w:p>
    <w:p w14:paraId="36DCF435" w14:textId="77777777" w:rsidR="00252501" w:rsidRPr="00DE1FF5" w:rsidRDefault="00252501" w:rsidP="002B7BD9">
      <w:pPr>
        <w:pStyle w:val="BodyText"/>
      </w:pPr>
      <w:r w:rsidRPr="00DE1FF5">
        <w:t>Use only if a clear diagnosis of migraine has been established. If a patient has no response to the first migraine attack treated with Zembrace SymTouch, reconsider the diagnosis before Zembrace SymTouch is administered to treat any subsequent attacks. Zembrace SymTouch injection is not indicated for the prevention of migraine attacks.</w:t>
      </w:r>
    </w:p>
    <w:p w14:paraId="55915A90" w14:textId="77777777" w:rsidR="00252501" w:rsidRPr="00DE1FF5" w:rsidRDefault="00252501" w:rsidP="002B7BD9">
      <w:pPr>
        <w:pStyle w:val="Heading4"/>
      </w:pPr>
      <w:r w:rsidRPr="00DE1FF5">
        <w:t>Zomig Nasal Spray</w:t>
      </w:r>
    </w:p>
    <w:p w14:paraId="444C20D3" w14:textId="77777777" w:rsidR="00252501" w:rsidRPr="00DE1FF5" w:rsidRDefault="00252501" w:rsidP="002B7BD9">
      <w:pPr>
        <w:pStyle w:val="BodyText"/>
      </w:pPr>
      <w:r w:rsidRPr="00DE1FF5">
        <w:t>Zomig nasal spray is indicated for the acute treatment of migraine with or without aura in adults and pediatric patients 12 years of age and older.</w:t>
      </w:r>
    </w:p>
    <w:p w14:paraId="379428AD" w14:textId="77777777" w:rsidR="00252501" w:rsidRPr="00DE1FF5" w:rsidRDefault="00252501" w:rsidP="002B7BD9">
      <w:pPr>
        <w:pStyle w:val="Heading5"/>
      </w:pPr>
      <w:r w:rsidRPr="00DE1FF5">
        <w:t>Limitations of Use</w:t>
      </w:r>
    </w:p>
    <w:p w14:paraId="49E94F83" w14:textId="77777777" w:rsidR="00252501" w:rsidRPr="00DE1FF5" w:rsidRDefault="00252501" w:rsidP="002B7BD9">
      <w:pPr>
        <w:pStyle w:val="BodyText"/>
        <w:rPr>
          <w:rFonts w:cs="Times New Roman"/>
        </w:rPr>
      </w:pPr>
      <w:r w:rsidRPr="00DE1FF5">
        <w:t>Only use Zomig if a clear diagnosis of migraine has been established. If a patient has no response to Zomig treatment for the first migraine attack, reconsider the diagnosis of migraine before Zomig is administered to treat any subsequent attacks. Zomig is not indicated for the prevention of migraine attacks. Safety and effectiveness of Zomig have not been established for cluster headache. Not recommended in patients with moderate or severe hepatic impairment.</w:t>
      </w:r>
    </w:p>
    <w:p w14:paraId="169C2631" w14:textId="77777777" w:rsidR="00252501" w:rsidRPr="00DE1FF5" w:rsidRDefault="00252501" w:rsidP="002B7BD9">
      <w:pPr>
        <w:pStyle w:val="Heading4"/>
      </w:pPr>
      <w:r w:rsidRPr="00DE1FF5">
        <w:t>Zolmitriptan ODT</w:t>
      </w:r>
    </w:p>
    <w:p w14:paraId="7F71D1DB" w14:textId="77777777" w:rsidR="00252501" w:rsidRPr="00DE1FF5" w:rsidRDefault="00252501" w:rsidP="002B7BD9">
      <w:pPr>
        <w:pStyle w:val="BodyText"/>
      </w:pPr>
      <w:r w:rsidRPr="00DE1FF5">
        <w:t>Zolmitriptan orally disintegrating tablets are indicated for the acute treatment of migraine with or without aura in adults.</w:t>
      </w:r>
    </w:p>
    <w:p w14:paraId="4C8CB745" w14:textId="77777777" w:rsidR="00252501" w:rsidRPr="00DE1FF5" w:rsidRDefault="00252501" w:rsidP="002B7BD9">
      <w:pPr>
        <w:pStyle w:val="Heading5"/>
      </w:pPr>
      <w:r w:rsidRPr="00DE1FF5">
        <w:t>Limitations of Use</w:t>
      </w:r>
    </w:p>
    <w:p w14:paraId="4D5F9D85" w14:textId="77777777" w:rsidR="00252501" w:rsidRPr="00DE1FF5" w:rsidRDefault="00252501" w:rsidP="002B7BD9">
      <w:pPr>
        <w:pStyle w:val="BodyText"/>
      </w:pPr>
      <w:r w:rsidRPr="00DE1FF5">
        <w:t>Only use zolmitriptan if a clear diagnosis of migraine has been established. If a patient has no response to zolmitriptan treatment for the first migraine attack, reconsider the diagnosis of migraine before zolmitriptan is administered to treat any subsequent attacks. Zolmitriptan orally disintegrating tablets are not indicated for the prevention of migraine attacks. Safety and effectiveness of zolmitriptan have not been established for cluster headache.</w:t>
      </w:r>
    </w:p>
    <w:p w14:paraId="682ACDC8" w14:textId="1C5F55F5" w:rsidR="00252501" w:rsidRPr="00DE1FF5" w:rsidRDefault="00252501" w:rsidP="002B7BD9">
      <w:pPr>
        <w:pStyle w:val="Heading4"/>
      </w:pPr>
      <w:r w:rsidRPr="00DE1FF5">
        <w:t>Zomig Tablets</w:t>
      </w:r>
    </w:p>
    <w:p w14:paraId="4D256306" w14:textId="77777777" w:rsidR="00252501" w:rsidRPr="00DE1FF5" w:rsidRDefault="00252501" w:rsidP="002B7BD9">
      <w:pPr>
        <w:pStyle w:val="BodyText"/>
      </w:pPr>
      <w:r w:rsidRPr="00DE1FF5">
        <w:t xml:space="preserve">Zomig is indicated for </w:t>
      </w:r>
      <w:bookmarkStart w:id="3" w:name="OLE_LINK2"/>
      <w:r w:rsidRPr="00DE1FF5">
        <w:t>the acute treatment of migraine with or without aura in adults.</w:t>
      </w:r>
      <w:bookmarkEnd w:id="3"/>
    </w:p>
    <w:p w14:paraId="2E54B034" w14:textId="77777777" w:rsidR="00252501" w:rsidRPr="00DE1FF5" w:rsidRDefault="00252501" w:rsidP="002B7BD9">
      <w:pPr>
        <w:pStyle w:val="Heading5"/>
      </w:pPr>
      <w:r w:rsidRPr="00DE1FF5">
        <w:t>Limitations of Use</w:t>
      </w:r>
    </w:p>
    <w:p w14:paraId="01F87843" w14:textId="10714D35" w:rsidR="00252501" w:rsidRPr="00DE1FF5" w:rsidRDefault="00252501" w:rsidP="002B7BD9">
      <w:pPr>
        <w:pStyle w:val="BodyText"/>
        <w:rPr>
          <w:rFonts w:cs="Times New Roman"/>
          <w:b/>
          <w:u w:val="single"/>
        </w:rPr>
      </w:pPr>
      <w:r w:rsidRPr="00DE1FF5">
        <w:t xml:space="preserve">Only use Zomig if a clear diagnosis of migraine has been established. If a patient has no response to Zomig treatment for the first migraine attack, reconsider the diagnosis of migraine before Zomig is administered </w:t>
      </w:r>
      <w:r w:rsidRPr="00DE1FF5">
        <w:lastRenderedPageBreak/>
        <w:t>to treat any subsequent attacks. Zomig is not indicated for the prevention of migraine attacks. Safety and effectiveness of Zomig have not been established for cluster headache.</w:t>
      </w:r>
    </w:p>
    <w:p w14:paraId="342A4CC0" w14:textId="77777777" w:rsidR="00252501" w:rsidRPr="00DE1FF5" w:rsidRDefault="00252501" w:rsidP="002B7BD9">
      <w:pPr>
        <w:pStyle w:val="Heading3"/>
        <w:rPr>
          <w:vertAlign w:val="superscript"/>
        </w:rPr>
      </w:pPr>
      <w:r w:rsidRPr="00DE1FF5">
        <w:t>Compendial Uses</w:t>
      </w:r>
      <w:r w:rsidRPr="00DE1FF5">
        <w:rPr>
          <w:vertAlign w:val="superscript"/>
        </w:rPr>
        <w:t>17</w:t>
      </w:r>
    </w:p>
    <w:p w14:paraId="55CF343F" w14:textId="77777777" w:rsidR="00252501" w:rsidRPr="00DE1FF5" w:rsidRDefault="00252501" w:rsidP="002B7BD9">
      <w:pPr>
        <w:pStyle w:val="Heading4"/>
      </w:pPr>
      <w:r w:rsidRPr="00DE1FF5">
        <w:t>Imitrex Nasal Spray</w:t>
      </w:r>
    </w:p>
    <w:p w14:paraId="09144535" w14:textId="77777777" w:rsidR="00252501" w:rsidRPr="00DE1FF5" w:rsidRDefault="00252501" w:rsidP="002B7BD9">
      <w:pPr>
        <w:pStyle w:val="BodyText"/>
      </w:pPr>
      <w:r w:rsidRPr="00DE1FF5">
        <w:t>Acute treatment of cluster headache</w:t>
      </w:r>
    </w:p>
    <w:p w14:paraId="69AFC071" w14:textId="77777777" w:rsidR="00252501" w:rsidRPr="00DE1FF5" w:rsidRDefault="00252501" w:rsidP="002B7BD9">
      <w:pPr>
        <w:pStyle w:val="Heading4"/>
      </w:pPr>
      <w:r w:rsidRPr="00DE1FF5">
        <w:t>Onzetra Xsail</w:t>
      </w:r>
    </w:p>
    <w:p w14:paraId="1676A61D" w14:textId="77777777" w:rsidR="00252501" w:rsidRPr="00DE1FF5" w:rsidRDefault="00252501" w:rsidP="002B7BD9">
      <w:pPr>
        <w:pStyle w:val="BodyText"/>
      </w:pPr>
      <w:r w:rsidRPr="00DE1FF5">
        <w:t>Acute treatment of cluster headache</w:t>
      </w:r>
    </w:p>
    <w:p w14:paraId="60CF7210" w14:textId="77777777" w:rsidR="00252501" w:rsidRPr="00DE1FF5" w:rsidRDefault="00252501" w:rsidP="002B7BD9">
      <w:pPr>
        <w:pStyle w:val="Heading4"/>
      </w:pPr>
      <w:r w:rsidRPr="00DE1FF5">
        <w:t>Tosymra</w:t>
      </w:r>
    </w:p>
    <w:p w14:paraId="1157AD40" w14:textId="77777777" w:rsidR="00252501" w:rsidRPr="00DE1FF5" w:rsidRDefault="00252501" w:rsidP="002B7BD9">
      <w:pPr>
        <w:pStyle w:val="BodyText"/>
      </w:pPr>
      <w:r w:rsidRPr="00DE1FF5">
        <w:t>Acute treatment of cluster headache</w:t>
      </w:r>
    </w:p>
    <w:p w14:paraId="6B9E3721" w14:textId="77777777" w:rsidR="00252501" w:rsidRPr="00DE1FF5" w:rsidRDefault="00252501" w:rsidP="002B7BD9">
      <w:pPr>
        <w:pStyle w:val="Heading4"/>
      </w:pPr>
      <w:r w:rsidRPr="00DE1FF5">
        <w:t>Zomig Nasal Spray</w:t>
      </w:r>
    </w:p>
    <w:p w14:paraId="2FB5E6C0" w14:textId="77777777" w:rsidR="00252501" w:rsidRPr="00DE1FF5" w:rsidRDefault="00252501" w:rsidP="002B7BD9">
      <w:pPr>
        <w:pStyle w:val="BodyText"/>
      </w:pPr>
      <w:r w:rsidRPr="00DE1FF5">
        <w:t>Acute treatment of cluster headache</w:t>
      </w:r>
    </w:p>
    <w:p w14:paraId="70620DAB" w14:textId="77777777" w:rsidR="00252501" w:rsidRPr="00DE1FF5" w:rsidRDefault="002B7BD9" w:rsidP="002B7BD9">
      <w:pPr>
        <w:pStyle w:val="Heading2"/>
      </w:pPr>
      <w:bookmarkStart w:id="4" w:name="OLE_LINK12"/>
      <w:r w:rsidRPr="00DE1FF5">
        <w:t>Coverage Criteria</w:t>
      </w:r>
      <w:bookmarkEnd w:id="4"/>
    </w:p>
    <w:p w14:paraId="7CB3429E" w14:textId="77777777" w:rsidR="00252501" w:rsidRPr="00DE1FF5" w:rsidRDefault="00252501" w:rsidP="002B7BD9">
      <w:pPr>
        <w:pStyle w:val="Heading3"/>
      </w:pPr>
      <w:r w:rsidRPr="00DE1FF5">
        <w:t>Cluster Headache</w:t>
      </w:r>
    </w:p>
    <w:p w14:paraId="040F9E04" w14:textId="77777777" w:rsidR="00252501" w:rsidRPr="00DE1FF5" w:rsidRDefault="00252501" w:rsidP="002B7BD9">
      <w:pPr>
        <w:pStyle w:val="BodyText"/>
      </w:pPr>
      <w:r w:rsidRPr="00DE1FF5">
        <w:rPr>
          <w:rFonts w:eastAsia="Calibri"/>
        </w:rPr>
        <w:t>Authorization may be granted when the</w:t>
      </w:r>
      <w:r w:rsidRPr="00DE1FF5">
        <w:t xml:space="preserve"> requested drug is being prescribed for the treatment of cluster headache when ALL of the following criteria are met:</w:t>
      </w:r>
    </w:p>
    <w:p w14:paraId="662DA13E" w14:textId="77777777" w:rsidR="00252501" w:rsidRPr="00DE1FF5" w:rsidRDefault="00252501" w:rsidP="002B7BD9">
      <w:pPr>
        <w:pStyle w:val="ListParagraph"/>
        <w:numPr>
          <w:ilvl w:val="0"/>
          <w:numId w:val="41"/>
        </w:numPr>
      </w:pPr>
      <w:r w:rsidRPr="00DE1FF5">
        <w:t>The patient does NOT have confirmed or suspected cardiovascular OR cerebrovascular disease, OR uncontrolled hypertension</w:t>
      </w:r>
    </w:p>
    <w:p w14:paraId="7F8FC4A6" w14:textId="65AB9C61" w:rsidR="00252501" w:rsidRPr="00DE1FF5" w:rsidRDefault="00252501" w:rsidP="002B7BD9">
      <w:pPr>
        <w:pStyle w:val="ListParagraph"/>
        <w:numPr>
          <w:ilvl w:val="0"/>
          <w:numId w:val="41"/>
        </w:numPr>
      </w:pPr>
      <w:r w:rsidRPr="00DE1FF5">
        <w:t>The request is for sumatriptan injection, sumatriptan nasal spray, OR zolmitriptan nasal spray (e.g., Imitrex Injection, Imitrex Nasal Spray, Onzetra Xsail, Tosymra, Zomig Nasal Spray)</w:t>
      </w:r>
    </w:p>
    <w:p w14:paraId="4978218B" w14:textId="77777777" w:rsidR="00252501" w:rsidRPr="00DE1FF5" w:rsidRDefault="00252501" w:rsidP="002B7BD9">
      <w:pPr>
        <w:pStyle w:val="ListParagraph"/>
        <w:numPr>
          <w:ilvl w:val="0"/>
          <w:numId w:val="41"/>
        </w:numPr>
      </w:pPr>
      <w:r w:rsidRPr="00DE1FF5">
        <w:t>The patient meets ONE of the following:</w:t>
      </w:r>
    </w:p>
    <w:p w14:paraId="20ABBA79" w14:textId="77777777" w:rsidR="00252501" w:rsidRPr="00DE1FF5" w:rsidRDefault="00252501" w:rsidP="002B7BD9">
      <w:pPr>
        <w:pStyle w:val="ListParagraph"/>
        <w:numPr>
          <w:ilvl w:val="1"/>
          <w:numId w:val="41"/>
        </w:numPr>
      </w:pPr>
      <w:r w:rsidRPr="00DE1FF5">
        <w:t>The requested drug is NOT being used concurrently with another triptan 5-HT1 agonist</w:t>
      </w:r>
    </w:p>
    <w:p w14:paraId="771D79CA" w14:textId="039B22F0" w:rsidR="00252501" w:rsidRPr="00DE1FF5" w:rsidRDefault="00252501" w:rsidP="002B7BD9">
      <w:pPr>
        <w:pStyle w:val="ListParagraph"/>
        <w:numPr>
          <w:ilvl w:val="1"/>
          <w:numId w:val="41"/>
        </w:numPr>
      </w:pPr>
      <w:r w:rsidRPr="00DE1FF5">
        <w:t>The requested drug is being used concurrently with another triptan 5-HT1 agonist, AND the patient requires more than one triptan 5-HT1 agonist due to clinical need for differing routes of administration</w:t>
      </w:r>
    </w:p>
    <w:p w14:paraId="40D61F50" w14:textId="77777777" w:rsidR="00252501" w:rsidRPr="009A5ECB" w:rsidRDefault="00252501" w:rsidP="009A5ECB">
      <w:pPr>
        <w:pStyle w:val="Heading3"/>
      </w:pPr>
      <w:r w:rsidRPr="009A5ECB">
        <w:t>Migraine Headache</w:t>
      </w:r>
    </w:p>
    <w:p w14:paraId="717C0D50" w14:textId="77777777" w:rsidR="00252501" w:rsidRPr="00DE1FF5" w:rsidRDefault="00252501" w:rsidP="002B7BD9">
      <w:pPr>
        <w:pStyle w:val="BodyText"/>
      </w:pPr>
      <w:r w:rsidRPr="00DE1FF5">
        <w:rPr>
          <w:rFonts w:eastAsia="Calibri"/>
        </w:rPr>
        <w:t>Authorization may be granted when the</w:t>
      </w:r>
      <w:r w:rsidRPr="00DE1FF5">
        <w:t xml:space="preserve"> requested drug is being prescribed for the diagnosis of migraine headache when ALL of the following criteria are met:</w:t>
      </w:r>
    </w:p>
    <w:p w14:paraId="3F179A51" w14:textId="77777777" w:rsidR="00252501" w:rsidRPr="00DE1FF5" w:rsidRDefault="00252501" w:rsidP="002B7BD9">
      <w:pPr>
        <w:pStyle w:val="ListParagraph"/>
        <w:numPr>
          <w:ilvl w:val="0"/>
          <w:numId w:val="44"/>
        </w:numPr>
      </w:pPr>
      <w:r w:rsidRPr="00DE1FF5">
        <w:t>The patient does NOT have confirmed or suspected cardiovascular OR cerebrovascular disease, OR uncontrolled hypertension</w:t>
      </w:r>
    </w:p>
    <w:p w14:paraId="0787F0C4" w14:textId="77777777" w:rsidR="00252501" w:rsidRPr="00DE1FF5" w:rsidRDefault="00252501" w:rsidP="002B7BD9">
      <w:pPr>
        <w:pStyle w:val="ListParagraph"/>
        <w:numPr>
          <w:ilvl w:val="0"/>
          <w:numId w:val="44"/>
        </w:numPr>
      </w:pPr>
      <w:r w:rsidRPr="00DE1FF5">
        <w:lastRenderedPageBreak/>
        <w:t xml:space="preserve">Medication overuse headache has been considered AND ruled </w:t>
      </w:r>
      <w:bookmarkStart w:id="5" w:name="OLE_LINK7"/>
      <w:r w:rsidRPr="00DE1FF5">
        <w:t>out</w:t>
      </w:r>
    </w:p>
    <w:p w14:paraId="052C52CB" w14:textId="77777777" w:rsidR="00252501" w:rsidRPr="00DE1FF5" w:rsidRDefault="00252501" w:rsidP="002B7BD9">
      <w:pPr>
        <w:pStyle w:val="ListParagraph"/>
        <w:numPr>
          <w:ilvl w:val="0"/>
          <w:numId w:val="44"/>
        </w:numPr>
      </w:pPr>
      <w:bookmarkStart w:id="6" w:name="_Hlk164254461"/>
      <w:r w:rsidRPr="00DE1FF5">
        <w:t>The patient meets ONE of the following:</w:t>
      </w:r>
    </w:p>
    <w:p w14:paraId="1070E315" w14:textId="719801AA" w:rsidR="00252501" w:rsidRPr="00DE1FF5" w:rsidRDefault="00252501" w:rsidP="002B7BD9">
      <w:pPr>
        <w:pStyle w:val="ListParagraph"/>
        <w:numPr>
          <w:ilvl w:val="1"/>
          <w:numId w:val="45"/>
        </w:numPr>
      </w:pPr>
      <w:r w:rsidRPr="00DE1FF5">
        <w:t>Th</w:t>
      </w:r>
      <w:bookmarkEnd w:id="5"/>
      <w:r w:rsidRPr="00DE1FF5">
        <w:t>e patient is currently using migraine prophylactic therapy [NOTE: Examples of prophylactic therapy are divalproex sodium, topiramate, valproate sodium, metoprolol, propranolol, timolol, atenolol, nadolol, candesartan, amitriptyline, venlafaxine, erenumab, fremanezumab, galcanezumab, eptinezumab, rimegepant, atogepant.]</w:t>
      </w:r>
    </w:p>
    <w:p w14:paraId="55C44BFC" w14:textId="77777777" w:rsidR="00252501" w:rsidRPr="00DE1FF5" w:rsidRDefault="00252501" w:rsidP="004F0385">
      <w:pPr>
        <w:pStyle w:val="ListParagraph"/>
        <w:keepNext/>
        <w:keepLines/>
        <w:widowControl w:val="0"/>
        <w:numPr>
          <w:ilvl w:val="1"/>
          <w:numId w:val="45"/>
        </w:numPr>
      </w:pPr>
      <w:r w:rsidRPr="00DE1FF5">
        <w:t>The patient is unable to take migraine prophylactic therapies due to an inadequate treatment response, intolerance or contraindication [NOTE: Examples of prophylactic therapy are divalproex sodium, topiramate, valproate sodium, metoprolol, propranolol, timolol, atenolol, nadolol, candesartan, amitriptyline, venlafaxine, erenumab, fremanezumab, galcanezumab, eptinezumab, rimegepant, atogepant.]</w:t>
      </w:r>
    </w:p>
    <w:bookmarkEnd w:id="6"/>
    <w:p w14:paraId="66A3D497" w14:textId="77777777" w:rsidR="00252501" w:rsidRPr="00DE1FF5" w:rsidRDefault="00252501" w:rsidP="002B7BD9">
      <w:pPr>
        <w:pStyle w:val="ListParagraph"/>
        <w:numPr>
          <w:ilvl w:val="0"/>
          <w:numId w:val="44"/>
        </w:numPr>
      </w:pPr>
      <w:r w:rsidRPr="00DE1FF5">
        <w:t>The patient meets ONE of the following:</w:t>
      </w:r>
    </w:p>
    <w:p w14:paraId="361FA116" w14:textId="77777777" w:rsidR="00252501" w:rsidRPr="00DE1FF5" w:rsidRDefault="00252501" w:rsidP="002B7BD9">
      <w:pPr>
        <w:pStyle w:val="ListParagraph"/>
        <w:numPr>
          <w:ilvl w:val="1"/>
          <w:numId w:val="46"/>
        </w:numPr>
      </w:pPr>
      <w:r w:rsidRPr="00DE1FF5">
        <w:t>The requested drug is NOT being used concurrently with another triptan 5-HT1 agonist</w:t>
      </w:r>
    </w:p>
    <w:p w14:paraId="7673A8F9" w14:textId="77777777" w:rsidR="00252501" w:rsidRPr="00DE1FF5" w:rsidRDefault="00252501" w:rsidP="002B7BD9">
      <w:pPr>
        <w:pStyle w:val="ListParagraph"/>
        <w:numPr>
          <w:ilvl w:val="1"/>
          <w:numId w:val="46"/>
        </w:numPr>
      </w:pPr>
      <w:r w:rsidRPr="00DE1FF5">
        <w:t xml:space="preserve">The requested drug is being used concurrently with another triptan 5-HT1 agonist, AND the patient requires more than one triptan 5-HT1 agonist due to clinical need for differing routes of administration </w:t>
      </w:r>
    </w:p>
    <w:p w14:paraId="4E264C72" w14:textId="6F84C49A" w:rsidR="00252501" w:rsidRPr="00DE1FF5" w:rsidRDefault="002B7BD9" w:rsidP="002B7BD9">
      <w:pPr>
        <w:pStyle w:val="Heading2"/>
      </w:pPr>
      <w:r w:rsidRPr="00DE1FF5">
        <w:t>Quantity Limits Apply</w:t>
      </w:r>
    </w:p>
    <w:p w14:paraId="2E4F9226" w14:textId="77777777" w:rsidR="00252501" w:rsidRPr="00DE1FF5" w:rsidRDefault="002B7BD9" w:rsidP="00456067">
      <w:pPr>
        <w:pStyle w:val="Heading3"/>
      </w:pPr>
      <w:r w:rsidRPr="00DE1FF5">
        <w:t>Post Limit Quantity</w:t>
      </w:r>
    </w:p>
    <w:p w14:paraId="3DA68263" w14:textId="77777777" w:rsidR="002B7BD9" w:rsidRPr="00DE1FF5" w:rsidRDefault="001C53D5" w:rsidP="002B7BD9">
      <w:pPr>
        <w:pStyle w:val="BodyText"/>
      </w:pPr>
      <w:r w:rsidRPr="00DE1FF5">
        <w:t>Please Note</w:t>
      </w:r>
      <w:r w:rsidR="002B7BD9" w:rsidRPr="00DE1FF5">
        <w:t>: Since manufacturer package sizes may vary, it is the discretion of the dispensing pharmacy to fill quantities per package size up to these quantity limits. In such cases the filling limit and day supply may be less than what is indicated.</w:t>
      </w:r>
    </w:p>
    <w:p w14:paraId="37E4EDDA" w14:textId="77777777" w:rsidR="00A2252C" w:rsidRDefault="00A2252C" w:rsidP="00A2252C">
      <w:pPr>
        <w:pStyle w:val="BodyText"/>
      </w:pPr>
      <w:r w:rsidRPr="00DE1FF5">
        <w:t>The duration of 25 days is used for a 30-day fill period and 75 days is used for a 90-day fill period to allow time for refill processing.</w:t>
      </w:r>
    </w:p>
    <w:p w14:paraId="2F521A2B" w14:textId="3816E09C" w:rsidR="00AC1745" w:rsidRPr="00DE1FF5" w:rsidRDefault="00A2252C" w:rsidP="00CA530F">
      <w:pPr>
        <w:pStyle w:val="BodyText"/>
      </w:pPr>
      <w:r w:rsidRPr="00DE1FF5">
        <w:t>Utilize higher strength available.</w:t>
      </w:r>
    </w:p>
    <w:tbl>
      <w:tblPr>
        <w:tblpPr w:leftFromText="180" w:rightFromText="180" w:vertAnchor="text" w:horzAnchor="margin" w:tblpY="68"/>
        <w:tblW w:w="10842"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Look w:val="0620" w:firstRow="1" w:lastRow="0" w:firstColumn="0" w:lastColumn="0" w:noHBand="1" w:noVBand="1"/>
      </w:tblPr>
      <w:tblGrid>
        <w:gridCol w:w="2112"/>
        <w:gridCol w:w="1440"/>
        <w:gridCol w:w="1998"/>
        <w:gridCol w:w="2475"/>
        <w:gridCol w:w="2817"/>
      </w:tblGrid>
      <w:tr w:rsidR="00456067" w:rsidRPr="00DE1FF5" w14:paraId="54C5078E" w14:textId="77777777" w:rsidTr="00455B1F">
        <w:trPr>
          <w:cantSplit/>
          <w:tblHeader/>
        </w:trPr>
        <w:tc>
          <w:tcPr>
            <w:tcW w:w="2112" w:type="dxa"/>
            <w:vAlign w:val="center"/>
          </w:tcPr>
          <w:p w14:paraId="72B98BB6" w14:textId="77777777" w:rsidR="00456067" w:rsidRPr="00DE1FF5" w:rsidRDefault="00456067" w:rsidP="009A1F07">
            <w:pPr>
              <w:pStyle w:val="TableHeader"/>
            </w:pPr>
            <w:r w:rsidRPr="00DE1FF5">
              <w:t>Medication</w:t>
            </w:r>
          </w:p>
        </w:tc>
        <w:tc>
          <w:tcPr>
            <w:tcW w:w="1440" w:type="dxa"/>
            <w:vAlign w:val="center"/>
          </w:tcPr>
          <w:p w14:paraId="5331A792" w14:textId="77777777" w:rsidR="00456067" w:rsidRPr="00DE1FF5" w:rsidRDefault="00456067" w:rsidP="009A1F07">
            <w:pPr>
              <w:pStyle w:val="TableHeader"/>
            </w:pPr>
            <w:r w:rsidRPr="00DE1FF5">
              <w:t>Strength</w:t>
            </w:r>
          </w:p>
        </w:tc>
        <w:tc>
          <w:tcPr>
            <w:tcW w:w="1998" w:type="dxa"/>
            <w:vAlign w:val="center"/>
          </w:tcPr>
          <w:p w14:paraId="32F67FF4" w14:textId="77777777" w:rsidR="00456067" w:rsidRPr="00DE1FF5" w:rsidRDefault="00456067" w:rsidP="00C64195">
            <w:pPr>
              <w:pStyle w:val="TableHeader"/>
            </w:pPr>
            <w:r w:rsidRPr="00DE1FF5">
              <w:t>Maximum dose per 24 hours</w:t>
            </w:r>
          </w:p>
        </w:tc>
        <w:tc>
          <w:tcPr>
            <w:tcW w:w="2475" w:type="dxa"/>
            <w:vAlign w:val="center"/>
          </w:tcPr>
          <w:p w14:paraId="35978D68" w14:textId="77777777" w:rsidR="00456067" w:rsidRPr="00DE1FF5" w:rsidRDefault="00456067" w:rsidP="009A1F07">
            <w:pPr>
              <w:pStyle w:val="TableHeader"/>
            </w:pPr>
            <w:r w:rsidRPr="00DE1FF5">
              <w:t xml:space="preserve">1 Month Limit </w:t>
            </w:r>
          </w:p>
        </w:tc>
        <w:tc>
          <w:tcPr>
            <w:tcW w:w="2817" w:type="dxa"/>
            <w:vAlign w:val="center"/>
          </w:tcPr>
          <w:p w14:paraId="1218997D" w14:textId="77777777" w:rsidR="00456067" w:rsidRPr="00DE1FF5" w:rsidRDefault="00456067" w:rsidP="009A1F07">
            <w:pPr>
              <w:pStyle w:val="TableHeader"/>
            </w:pPr>
            <w:r w:rsidRPr="00DE1FF5">
              <w:t xml:space="preserve">3 Months Limit </w:t>
            </w:r>
          </w:p>
        </w:tc>
      </w:tr>
      <w:tr w:rsidR="00456067" w:rsidRPr="00DE1FF5" w14:paraId="7E20A0FA" w14:textId="77777777" w:rsidTr="00C64195">
        <w:trPr>
          <w:cantSplit/>
          <w:trHeight w:val="102"/>
        </w:trPr>
        <w:tc>
          <w:tcPr>
            <w:tcW w:w="2112" w:type="dxa"/>
            <w:vAlign w:val="center"/>
          </w:tcPr>
          <w:p w14:paraId="25BFC6CD" w14:textId="77777777" w:rsidR="00456067" w:rsidRPr="00DE1FF5" w:rsidRDefault="00456067" w:rsidP="00C64195">
            <w:pPr>
              <w:pStyle w:val="TableData"/>
            </w:pPr>
            <w:r w:rsidRPr="00DE1FF5">
              <w:t xml:space="preserve">almotriptan </w:t>
            </w:r>
          </w:p>
        </w:tc>
        <w:tc>
          <w:tcPr>
            <w:tcW w:w="1440" w:type="dxa"/>
            <w:vAlign w:val="center"/>
          </w:tcPr>
          <w:p w14:paraId="493A75BF" w14:textId="77777777" w:rsidR="00456067" w:rsidRPr="00DE1FF5" w:rsidRDefault="00456067" w:rsidP="00C64195">
            <w:pPr>
              <w:pStyle w:val="TableData"/>
            </w:pPr>
            <w:r w:rsidRPr="00DE1FF5">
              <w:t>6.25 mg</w:t>
            </w:r>
          </w:p>
        </w:tc>
        <w:tc>
          <w:tcPr>
            <w:tcW w:w="1998" w:type="dxa"/>
            <w:vAlign w:val="center"/>
          </w:tcPr>
          <w:p w14:paraId="62C400F8" w14:textId="77777777" w:rsidR="00456067" w:rsidRPr="00DE1FF5" w:rsidRDefault="00456067" w:rsidP="00C64195">
            <w:pPr>
              <w:pStyle w:val="TableData"/>
            </w:pPr>
            <w:r w:rsidRPr="00DE1FF5">
              <w:t>2 tablets</w:t>
            </w:r>
          </w:p>
        </w:tc>
        <w:tc>
          <w:tcPr>
            <w:tcW w:w="2475" w:type="dxa"/>
            <w:vAlign w:val="center"/>
          </w:tcPr>
          <w:p w14:paraId="1466091B" w14:textId="77777777" w:rsidR="00456067" w:rsidRPr="00DE1FF5" w:rsidRDefault="00456067" w:rsidP="00C64195">
            <w:pPr>
              <w:pStyle w:val="TableData"/>
            </w:pPr>
            <w:r w:rsidRPr="00DE1FF5">
              <w:t>18 tablets / 25 days</w:t>
            </w:r>
          </w:p>
        </w:tc>
        <w:tc>
          <w:tcPr>
            <w:tcW w:w="2817" w:type="dxa"/>
            <w:vAlign w:val="center"/>
          </w:tcPr>
          <w:p w14:paraId="29781093" w14:textId="77777777" w:rsidR="00456067" w:rsidRPr="00DE1FF5" w:rsidRDefault="00456067" w:rsidP="00C64195">
            <w:pPr>
              <w:pStyle w:val="TableData"/>
            </w:pPr>
            <w:r w:rsidRPr="00DE1FF5">
              <w:t>54 tablets / 75 days</w:t>
            </w:r>
          </w:p>
        </w:tc>
      </w:tr>
      <w:tr w:rsidR="00456067" w:rsidRPr="00DE1FF5" w14:paraId="7E6D8828" w14:textId="77777777" w:rsidTr="00C64195">
        <w:trPr>
          <w:cantSplit/>
          <w:trHeight w:val="102"/>
        </w:trPr>
        <w:tc>
          <w:tcPr>
            <w:tcW w:w="2112" w:type="dxa"/>
            <w:vAlign w:val="center"/>
          </w:tcPr>
          <w:p w14:paraId="44CCA542" w14:textId="77777777" w:rsidR="00456067" w:rsidRPr="00DE1FF5" w:rsidRDefault="00456067" w:rsidP="00C64195">
            <w:pPr>
              <w:pStyle w:val="TableData"/>
            </w:pPr>
            <w:r w:rsidRPr="00DE1FF5">
              <w:t>almotriptan</w:t>
            </w:r>
          </w:p>
        </w:tc>
        <w:tc>
          <w:tcPr>
            <w:tcW w:w="1440" w:type="dxa"/>
            <w:vAlign w:val="center"/>
          </w:tcPr>
          <w:p w14:paraId="79ECBA5A" w14:textId="77777777" w:rsidR="00456067" w:rsidRPr="00DE1FF5" w:rsidRDefault="00456067" w:rsidP="00C64195">
            <w:pPr>
              <w:pStyle w:val="TableData"/>
            </w:pPr>
            <w:r w:rsidRPr="00DE1FF5">
              <w:t>12.5 mg</w:t>
            </w:r>
          </w:p>
        </w:tc>
        <w:tc>
          <w:tcPr>
            <w:tcW w:w="1998" w:type="dxa"/>
            <w:vAlign w:val="center"/>
          </w:tcPr>
          <w:p w14:paraId="09B605AF" w14:textId="77777777" w:rsidR="00456067" w:rsidRPr="00DE1FF5" w:rsidRDefault="00456067" w:rsidP="00C64195">
            <w:pPr>
              <w:pStyle w:val="TableData"/>
              <w:spacing w:after="0"/>
            </w:pPr>
            <w:r w:rsidRPr="00DE1FF5">
              <w:t>2 tablets</w:t>
            </w:r>
          </w:p>
          <w:p w14:paraId="2704CF23" w14:textId="77777777" w:rsidR="00456067" w:rsidRPr="00DE1FF5" w:rsidRDefault="00456067" w:rsidP="00C64195">
            <w:pPr>
              <w:pStyle w:val="TableData"/>
            </w:pPr>
            <w:r w:rsidRPr="00DE1FF5">
              <w:t>25 mg</w:t>
            </w:r>
          </w:p>
        </w:tc>
        <w:tc>
          <w:tcPr>
            <w:tcW w:w="2475" w:type="dxa"/>
            <w:vAlign w:val="center"/>
          </w:tcPr>
          <w:p w14:paraId="7E8B2CE8" w14:textId="77777777" w:rsidR="00456067" w:rsidRPr="00DE1FF5" w:rsidRDefault="00456067" w:rsidP="00C64195">
            <w:pPr>
              <w:pStyle w:val="TableData"/>
            </w:pPr>
            <w:r w:rsidRPr="00DE1FF5">
              <w:t>18 tablets / 25 days</w:t>
            </w:r>
          </w:p>
        </w:tc>
        <w:tc>
          <w:tcPr>
            <w:tcW w:w="2817" w:type="dxa"/>
            <w:vAlign w:val="center"/>
          </w:tcPr>
          <w:p w14:paraId="3C46AD27" w14:textId="77777777" w:rsidR="00456067" w:rsidRPr="00DE1FF5" w:rsidRDefault="00456067" w:rsidP="00C64195">
            <w:pPr>
              <w:pStyle w:val="TableData"/>
            </w:pPr>
            <w:r w:rsidRPr="00DE1FF5">
              <w:t>54 tablets / 75 days</w:t>
            </w:r>
          </w:p>
        </w:tc>
      </w:tr>
      <w:tr w:rsidR="00456067" w:rsidRPr="00DE1FF5" w14:paraId="357E9526" w14:textId="77777777" w:rsidTr="00C64195">
        <w:trPr>
          <w:cantSplit/>
        </w:trPr>
        <w:tc>
          <w:tcPr>
            <w:tcW w:w="2112" w:type="dxa"/>
            <w:vAlign w:val="center"/>
          </w:tcPr>
          <w:p w14:paraId="4B0D6250" w14:textId="77777777" w:rsidR="00456067" w:rsidRPr="00DE1FF5" w:rsidRDefault="00456067" w:rsidP="00C64195">
            <w:pPr>
              <w:pStyle w:val="TableData"/>
              <w:spacing w:after="0"/>
            </w:pPr>
            <w:r w:rsidRPr="00DE1FF5">
              <w:t>Frova</w:t>
            </w:r>
            <w:r w:rsidR="00C64195">
              <w:t xml:space="preserve"> </w:t>
            </w:r>
            <w:r w:rsidRPr="00DE1FF5">
              <w:t>(frovatriptan)</w:t>
            </w:r>
          </w:p>
        </w:tc>
        <w:tc>
          <w:tcPr>
            <w:tcW w:w="1440" w:type="dxa"/>
            <w:vAlign w:val="center"/>
          </w:tcPr>
          <w:p w14:paraId="5B817399" w14:textId="77777777" w:rsidR="00456067" w:rsidRPr="00DE1FF5" w:rsidRDefault="00456067" w:rsidP="00C64195">
            <w:pPr>
              <w:pStyle w:val="TableData"/>
            </w:pPr>
            <w:r w:rsidRPr="00DE1FF5">
              <w:t>2.5 mg</w:t>
            </w:r>
          </w:p>
        </w:tc>
        <w:tc>
          <w:tcPr>
            <w:tcW w:w="1998" w:type="dxa"/>
            <w:vAlign w:val="center"/>
          </w:tcPr>
          <w:p w14:paraId="103C9AF0" w14:textId="77777777" w:rsidR="00456067" w:rsidRPr="00DE1FF5" w:rsidRDefault="00456067" w:rsidP="00C64195">
            <w:pPr>
              <w:pStyle w:val="TableData"/>
              <w:spacing w:after="0"/>
            </w:pPr>
            <w:r w:rsidRPr="00DE1FF5">
              <w:t>3 tablets</w:t>
            </w:r>
          </w:p>
          <w:p w14:paraId="0010A150" w14:textId="77777777" w:rsidR="00456067" w:rsidRPr="00DE1FF5" w:rsidRDefault="00456067" w:rsidP="00C64195">
            <w:pPr>
              <w:pStyle w:val="TableData"/>
            </w:pPr>
            <w:r w:rsidRPr="00DE1FF5">
              <w:t>7.5 mg</w:t>
            </w:r>
          </w:p>
        </w:tc>
        <w:tc>
          <w:tcPr>
            <w:tcW w:w="2475" w:type="dxa"/>
            <w:vAlign w:val="center"/>
          </w:tcPr>
          <w:p w14:paraId="19092F6A" w14:textId="77777777" w:rsidR="00456067" w:rsidRPr="00DE1FF5" w:rsidRDefault="00456067" w:rsidP="00C64195">
            <w:pPr>
              <w:pStyle w:val="TableData"/>
            </w:pPr>
            <w:r w:rsidRPr="00DE1FF5">
              <w:t>27 tablets / 25 days</w:t>
            </w:r>
          </w:p>
        </w:tc>
        <w:tc>
          <w:tcPr>
            <w:tcW w:w="2817" w:type="dxa"/>
            <w:vAlign w:val="center"/>
          </w:tcPr>
          <w:p w14:paraId="106CB593" w14:textId="77777777" w:rsidR="00456067" w:rsidRPr="00DE1FF5" w:rsidRDefault="00456067" w:rsidP="00C64195">
            <w:pPr>
              <w:pStyle w:val="TableData"/>
            </w:pPr>
            <w:r w:rsidRPr="00DE1FF5">
              <w:t>81 tablets / 75 days</w:t>
            </w:r>
          </w:p>
        </w:tc>
      </w:tr>
      <w:tr w:rsidR="00456067" w:rsidRPr="00DE1FF5" w14:paraId="2F57C374" w14:textId="77777777" w:rsidTr="00C64195">
        <w:trPr>
          <w:cantSplit/>
        </w:trPr>
        <w:tc>
          <w:tcPr>
            <w:tcW w:w="2112" w:type="dxa"/>
            <w:vAlign w:val="center"/>
          </w:tcPr>
          <w:p w14:paraId="542CA4CB" w14:textId="77777777" w:rsidR="00456067" w:rsidRPr="00DE1FF5" w:rsidRDefault="00456067" w:rsidP="00C64195">
            <w:pPr>
              <w:pStyle w:val="TableData"/>
              <w:spacing w:after="0"/>
            </w:pPr>
            <w:r w:rsidRPr="00DE1FF5">
              <w:t>Imitrex Injection</w:t>
            </w:r>
            <w:r w:rsidR="00C64195">
              <w:t xml:space="preserve"> </w:t>
            </w:r>
            <w:r w:rsidRPr="00DE1FF5">
              <w:t>(sumatriptan) single dose vials</w:t>
            </w:r>
          </w:p>
        </w:tc>
        <w:tc>
          <w:tcPr>
            <w:tcW w:w="1440" w:type="dxa"/>
            <w:vAlign w:val="center"/>
          </w:tcPr>
          <w:p w14:paraId="4FBAED24" w14:textId="77777777" w:rsidR="00456067" w:rsidRPr="00DE1FF5" w:rsidRDefault="00456067" w:rsidP="00C64195">
            <w:pPr>
              <w:pStyle w:val="TableData"/>
            </w:pPr>
            <w:r w:rsidRPr="00DE1FF5">
              <w:t>6 mg</w:t>
            </w:r>
          </w:p>
        </w:tc>
        <w:tc>
          <w:tcPr>
            <w:tcW w:w="1998" w:type="dxa"/>
            <w:vAlign w:val="center"/>
          </w:tcPr>
          <w:p w14:paraId="51285F69" w14:textId="53772CDF" w:rsidR="00456067" w:rsidRPr="00DE1FF5" w:rsidRDefault="00456067" w:rsidP="00C64195">
            <w:pPr>
              <w:pStyle w:val="TableData"/>
              <w:spacing w:after="0"/>
            </w:pPr>
            <w:r w:rsidRPr="00DE1FF5">
              <w:t>2 injections</w:t>
            </w:r>
          </w:p>
          <w:p w14:paraId="14E1171D" w14:textId="77777777" w:rsidR="00456067" w:rsidRPr="00DE1FF5" w:rsidRDefault="00456067" w:rsidP="00C64195">
            <w:pPr>
              <w:pStyle w:val="TableData"/>
            </w:pPr>
            <w:r w:rsidRPr="00DE1FF5">
              <w:t>12 mg</w:t>
            </w:r>
          </w:p>
        </w:tc>
        <w:tc>
          <w:tcPr>
            <w:tcW w:w="2475" w:type="dxa"/>
            <w:vAlign w:val="center"/>
          </w:tcPr>
          <w:p w14:paraId="1A407074" w14:textId="77777777" w:rsidR="00456067" w:rsidRPr="00DE1FF5" w:rsidRDefault="00456067" w:rsidP="00C64195">
            <w:pPr>
              <w:pStyle w:val="TableData"/>
            </w:pPr>
            <w:r w:rsidRPr="00DE1FF5">
              <w:t>18 vials (9 mL) / 25 days</w:t>
            </w:r>
          </w:p>
        </w:tc>
        <w:tc>
          <w:tcPr>
            <w:tcW w:w="2817" w:type="dxa"/>
            <w:vAlign w:val="center"/>
          </w:tcPr>
          <w:p w14:paraId="3526DF78" w14:textId="77777777" w:rsidR="00456067" w:rsidRPr="00DE1FF5" w:rsidRDefault="00456067" w:rsidP="00C64195">
            <w:pPr>
              <w:pStyle w:val="TableData"/>
            </w:pPr>
            <w:r w:rsidRPr="00DE1FF5">
              <w:t>55 vials (27.5 mL) / 75 days</w:t>
            </w:r>
          </w:p>
        </w:tc>
      </w:tr>
      <w:tr w:rsidR="00456067" w:rsidRPr="00DE1FF5" w14:paraId="3D4A0D0B" w14:textId="77777777" w:rsidTr="00C64195">
        <w:trPr>
          <w:cantSplit/>
        </w:trPr>
        <w:tc>
          <w:tcPr>
            <w:tcW w:w="2112" w:type="dxa"/>
            <w:vAlign w:val="center"/>
          </w:tcPr>
          <w:p w14:paraId="54F21035" w14:textId="77777777" w:rsidR="00456067" w:rsidRPr="00DE1FF5" w:rsidRDefault="00456067" w:rsidP="00C64195">
            <w:pPr>
              <w:pStyle w:val="TableData"/>
              <w:spacing w:after="0"/>
            </w:pPr>
            <w:r w:rsidRPr="00DE1FF5">
              <w:lastRenderedPageBreak/>
              <w:t>Imitrex Injection</w:t>
            </w:r>
            <w:r w:rsidR="00C64195">
              <w:t xml:space="preserve"> </w:t>
            </w:r>
            <w:r w:rsidRPr="00DE1FF5">
              <w:t>(sumatriptan) syringes</w:t>
            </w:r>
            <w:r w:rsidR="00C64195">
              <w:t xml:space="preserve"> </w:t>
            </w:r>
            <w:r w:rsidRPr="00DE1FF5">
              <w:t>STATdose / Refill</w:t>
            </w:r>
          </w:p>
        </w:tc>
        <w:tc>
          <w:tcPr>
            <w:tcW w:w="1440" w:type="dxa"/>
            <w:vAlign w:val="center"/>
          </w:tcPr>
          <w:p w14:paraId="65649DA3" w14:textId="77777777" w:rsidR="00456067" w:rsidRPr="00DE1FF5" w:rsidRDefault="00456067" w:rsidP="00C64195">
            <w:pPr>
              <w:pStyle w:val="TableData"/>
            </w:pPr>
            <w:r w:rsidRPr="00DE1FF5">
              <w:t>4 mg</w:t>
            </w:r>
          </w:p>
        </w:tc>
        <w:tc>
          <w:tcPr>
            <w:tcW w:w="1998" w:type="dxa"/>
            <w:vAlign w:val="center"/>
          </w:tcPr>
          <w:p w14:paraId="600074FE" w14:textId="77777777" w:rsidR="00456067" w:rsidRPr="00DE1FF5" w:rsidRDefault="00456067" w:rsidP="00C64195">
            <w:pPr>
              <w:pStyle w:val="TableData"/>
              <w:spacing w:after="0"/>
            </w:pPr>
            <w:r w:rsidRPr="00DE1FF5">
              <w:t>3 injections</w:t>
            </w:r>
          </w:p>
          <w:p w14:paraId="0C951B01" w14:textId="77777777" w:rsidR="00456067" w:rsidRPr="00DE1FF5" w:rsidRDefault="00456067" w:rsidP="00C64195">
            <w:pPr>
              <w:pStyle w:val="TableData"/>
            </w:pPr>
            <w:r w:rsidRPr="00DE1FF5">
              <w:t>12 mg</w:t>
            </w:r>
          </w:p>
        </w:tc>
        <w:tc>
          <w:tcPr>
            <w:tcW w:w="2475" w:type="dxa"/>
            <w:vAlign w:val="center"/>
          </w:tcPr>
          <w:p w14:paraId="4F39A9F6" w14:textId="77777777" w:rsidR="00456067" w:rsidRPr="00DE1FF5" w:rsidRDefault="00456067" w:rsidP="00C64195">
            <w:pPr>
              <w:pStyle w:val="TableData"/>
            </w:pPr>
            <w:r w:rsidRPr="00DE1FF5">
              <w:t xml:space="preserve">27 syringes (13.5 mL) / 25 days </w:t>
            </w:r>
          </w:p>
        </w:tc>
        <w:tc>
          <w:tcPr>
            <w:tcW w:w="2817" w:type="dxa"/>
            <w:vAlign w:val="center"/>
          </w:tcPr>
          <w:p w14:paraId="723A2FD6" w14:textId="77777777" w:rsidR="00456067" w:rsidRPr="00DE1FF5" w:rsidRDefault="00456067" w:rsidP="00C64195">
            <w:pPr>
              <w:pStyle w:val="TableData"/>
            </w:pPr>
            <w:r w:rsidRPr="00DE1FF5">
              <w:t>81 syringes (40.5 mL) / 75 days</w:t>
            </w:r>
          </w:p>
        </w:tc>
      </w:tr>
      <w:tr w:rsidR="00456067" w:rsidRPr="00DE1FF5" w14:paraId="74E368C9" w14:textId="77777777" w:rsidTr="00455B1F">
        <w:trPr>
          <w:cantSplit/>
        </w:trPr>
        <w:tc>
          <w:tcPr>
            <w:tcW w:w="2112" w:type="dxa"/>
            <w:vAlign w:val="center"/>
          </w:tcPr>
          <w:p w14:paraId="5CE332D7" w14:textId="77777777" w:rsidR="00456067" w:rsidRPr="00DE1FF5" w:rsidRDefault="00456067" w:rsidP="00C64195">
            <w:pPr>
              <w:pStyle w:val="TableData"/>
              <w:spacing w:after="0"/>
            </w:pPr>
            <w:r w:rsidRPr="00DE1FF5">
              <w:t>Imitrex Injection</w:t>
            </w:r>
            <w:r w:rsidR="00C64195">
              <w:t xml:space="preserve"> </w:t>
            </w:r>
            <w:r w:rsidRPr="00DE1FF5">
              <w:t>(sumatriptan) syringes</w:t>
            </w:r>
            <w:r w:rsidR="00C64195">
              <w:t xml:space="preserve"> </w:t>
            </w:r>
            <w:r w:rsidRPr="00DE1FF5">
              <w:t>STATdose / Refill</w:t>
            </w:r>
          </w:p>
        </w:tc>
        <w:tc>
          <w:tcPr>
            <w:tcW w:w="1440" w:type="dxa"/>
            <w:vAlign w:val="center"/>
          </w:tcPr>
          <w:p w14:paraId="132245C3" w14:textId="77777777" w:rsidR="00456067" w:rsidRPr="00DE1FF5" w:rsidRDefault="00456067" w:rsidP="00456067">
            <w:pPr>
              <w:pStyle w:val="TableData"/>
            </w:pPr>
            <w:r w:rsidRPr="00DE1FF5">
              <w:t>6 mg</w:t>
            </w:r>
          </w:p>
        </w:tc>
        <w:tc>
          <w:tcPr>
            <w:tcW w:w="1998" w:type="dxa"/>
            <w:vAlign w:val="center"/>
          </w:tcPr>
          <w:p w14:paraId="24DB13A5" w14:textId="77777777" w:rsidR="00456067" w:rsidRPr="00DE1FF5" w:rsidRDefault="00456067" w:rsidP="00A25174">
            <w:pPr>
              <w:pStyle w:val="TableData"/>
              <w:spacing w:after="0"/>
            </w:pPr>
            <w:r w:rsidRPr="00DE1FF5">
              <w:t>2 injections</w:t>
            </w:r>
          </w:p>
          <w:p w14:paraId="038D7790" w14:textId="77777777" w:rsidR="00456067" w:rsidRPr="00DE1FF5" w:rsidRDefault="00456067" w:rsidP="00456067">
            <w:pPr>
              <w:pStyle w:val="TableData"/>
            </w:pPr>
            <w:r w:rsidRPr="00DE1FF5">
              <w:t>12 mg</w:t>
            </w:r>
          </w:p>
        </w:tc>
        <w:tc>
          <w:tcPr>
            <w:tcW w:w="2475" w:type="dxa"/>
            <w:vAlign w:val="center"/>
          </w:tcPr>
          <w:p w14:paraId="653081E3" w14:textId="77777777" w:rsidR="00456067" w:rsidRPr="00DE1FF5" w:rsidRDefault="00456067" w:rsidP="00456067">
            <w:pPr>
              <w:pStyle w:val="TableData"/>
            </w:pPr>
            <w:r w:rsidRPr="00DE1FF5">
              <w:t>18 syringes (9 mL) / 25 days</w:t>
            </w:r>
          </w:p>
        </w:tc>
        <w:tc>
          <w:tcPr>
            <w:tcW w:w="2817" w:type="dxa"/>
            <w:vAlign w:val="center"/>
          </w:tcPr>
          <w:p w14:paraId="10F3D29C" w14:textId="77777777" w:rsidR="00456067" w:rsidRPr="00DE1FF5" w:rsidRDefault="00456067" w:rsidP="00456067">
            <w:pPr>
              <w:pStyle w:val="TableData"/>
            </w:pPr>
            <w:r w:rsidRPr="00DE1FF5">
              <w:t xml:space="preserve">54 syringes (27 mL) / 75 days </w:t>
            </w:r>
          </w:p>
        </w:tc>
      </w:tr>
      <w:tr w:rsidR="00456067" w:rsidRPr="00DE1FF5" w14:paraId="49C98FC3" w14:textId="77777777" w:rsidTr="00455B1F">
        <w:trPr>
          <w:cantSplit/>
        </w:trPr>
        <w:tc>
          <w:tcPr>
            <w:tcW w:w="2112" w:type="dxa"/>
          </w:tcPr>
          <w:p w14:paraId="5337D71D" w14:textId="77777777" w:rsidR="00456067" w:rsidRPr="00DE1FF5" w:rsidRDefault="00456067" w:rsidP="00C64195">
            <w:pPr>
              <w:pStyle w:val="TableData"/>
              <w:spacing w:after="0"/>
            </w:pPr>
            <w:r w:rsidRPr="00DE1FF5">
              <w:t>Imitrex Nasal Spray</w:t>
            </w:r>
            <w:r w:rsidR="00C64195">
              <w:t xml:space="preserve"> </w:t>
            </w:r>
            <w:r w:rsidRPr="00DE1FF5">
              <w:t>(sumatriptan)</w:t>
            </w:r>
          </w:p>
        </w:tc>
        <w:tc>
          <w:tcPr>
            <w:tcW w:w="1440" w:type="dxa"/>
            <w:vAlign w:val="center"/>
          </w:tcPr>
          <w:p w14:paraId="20444330" w14:textId="77777777" w:rsidR="00456067" w:rsidRPr="00DE1FF5" w:rsidRDefault="00456067" w:rsidP="00456067">
            <w:pPr>
              <w:pStyle w:val="TableData"/>
            </w:pPr>
            <w:r w:rsidRPr="00DE1FF5">
              <w:t>5 mg</w:t>
            </w:r>
          </w:p>
        </w:tc>
        <w:tc>
          <w:tcPr>
            <w:tcW w:w="1998" w:type="dxa"/>
            <w:vAlign w:val="center"/>
          </w:tcPr>
          <w:p w14:paraId="75D23F22" w14:textId="77777777" w:rsidR="00456067" w:rsidRPr="00DE1FF5" w:rsidRDefault="00456067" w:rsidP="00456067">
            <w:pPr>
              <w:pStyle w:val="TableData"/>
            </w:pPr>
            <w:r w:rsidRPr="00DE1FF5">
              <w:t>4 sprays</w:t>
            </w:r>
          </w:p>
        </w:tc>
        <w:tc>
          <w:tcPr>
            <w:tcW w:w="2475" w:type="dxa"/>
            <w:vAlign w:val="center"/>
          </w:tcPr>
          <w:p w14:paraId="1DCCEC1F" w14:textId="77777777" w:rsidR="00456067" w:rsidRPr="00DE1FF5" w:rsidRDefault="00456067" w:rsidP="00456067">
            <w:pPr>
              <w:pStyle w:val="TableData"/>
            </w:pPr>
            <w:r w:rsidRPr="00DE1FF5">
              <w:t>36 units / 25 days</w:t>
            </w:r>
          </w:p>
        </w:tc>
        <w:tc>
          <w:tcPr>
            <w:tcW w:w="2817" w:type="dxa"/>
            <w:vAlign w:val="center"/>
          </w:tcPr>
          <w:p w14:paraId="598B22F9" w14:textId="77777777" w:rsidR="00456067" w:rsidRPr="00DE1FF5" w:rsidRDefault="00456067" w:rsidP="00456067">
            <w:pPr>
              <w:pStyle w:val="TableData"/>
            </w:pPr>
            <w:r w:rsidRPr="00DE1FF5">
              <w:t>108 units / 75 days</w:t>
            </w:r>
          </w:p>
        </w:tc>
      </w:tr>
      <w:tr w:rsidR="00456067" w:rsidRPr="00DE1FF5" w14:paraId="45A9D4E0" w14:textId="77777777" w:rsidTr="00455B1F">
        <w:trPr>
          <w:cantSplit/>
        </w:trPr>
        <w:tc>
          <w:tcPr>
            <w:tcW w:w="2112" w:type="dxa"/>
          </w:tcPr>
          <w:p w14:paraId="549CF57E" w14:textId="77777777" w:rsidR="00456067" w:rsidRPr="00DE1FF5" w:rsidRDefault="00456067" w:rsidP="00C64195">
            <w:pPr>
              <w:pStyle w:val="TableData"/>
              <w:spacing w:after="0"/>
            </w:pPr>
            <w:r w:rsidRPr="00DE1FF5">
              <w:t>Imitrex Nasal Spray</w:t>
            </w:r>
            <w:r w:rsidR="00C64195">
              <w:t xml:space="preserve"> </w:t>
            </w:r>
            <w:r w:rsidRPr="00DE1FF5">
              <w:t>(sumatriptan)</w:t>
            </w:r>
          </w:p>
        </w:tc>
        <w:tc>
          <w:tcPr>
            <w:tcW w:w="1440" w:type="dxa"/>
            <w:vAlign w:val="center"/>
          </w:tcPr>
          <w:p w14:paraId="2482D1D2" w14:textId="77777777" w:rsidR="00456067" w:rsidRPr="00DE1FF5" w:rsidRDefault="00456067" w:rsidP="00456067">
            <w:pPr>
              <w:pStyle w:val="TableData"/>
            </w:pPr>
            <w:r w:rsidRPr="00DE1FF5">
              <w:t>20 mg</w:t>
            </w:r>
          </w:p>
        </w:tc>
        <w:tc>
          <w:tcPr>
            <w:tcW w:w="1998" w:type="dxa"/>
            <w:vAlign w:val="center"/>
          </w:tcPr>
          <w:p w14:paraId="49B8201C" w14:textId="77777777" w:rsidR="00456067" w:rsidRPr="00DE1FF5" w:rsidRDefault="00456067" w:rsidP="00414BB2">
            <w:pPr>
              <w:pStyle w:val="TableData"/>
              <w:spacing w:after="0"/>
            </w:pPr>
            <w:r w:rsidRPr="00DE1FF5">
              <w:t>2 sprays</w:t>
            </w:r>
          </w:p>
          <w:p w14:paraId="37B49C34" w14:textId="77777777" w:rsidR="00456067" w:rsidRPr="00DE1FF5" w:rsidRDefault="00456067" w:rsidP="00456067">
            <w:pPr>
              <w:pStyle w:val="TableData"/>
            </w:pPr>
            <w:r w:rsidRPr="00DE1FF5">
              <w:t>40 mg</w:t>
            </w:r>
          </w:p>
        </w:tc>
        <w:tc>
          <w:tcPr>
            <w:tcW w:w="2475" w:type="dxa"/>
            <w:vAlign w:val="center"/>
          </w:tcPr>
          <w:p w14:paraId="26D93C0D" w14:textId="77777777" w:rsidR="00456067" w:rsidRPr="00DE1FF5" w:rsidRDefault="00456067" w:rsidP="00456067">
            <w:pPr>
              <w:pStyle w:val="TableData"/>
            </w:pPr>
            <w:r w:rsidRPr="00DE1FF5">
              <w:t>18 units / 25 days</w:t>
            </w:r>
          </w:p>
        </w:tc>
        <w:tc>
          <w:tcPr>
            <w:tcW w:w="2817" w:type="dxa"/>
            <w:vAlign w:val="center"/>
          </w:tcPr>
          <w:p w14:paraId="76E18B4C" w14:textId="77777777" w:rsidR="00456067" w:rsidRPr="00DE1FF5" w:rsidRDefault="00456067" w:rsidP="00456067">
            <w:pPr>
              <w:pStyle w:val="TableData"/>
            </w:pPr>
            <w:r w:rsidRPr="00DE1FF5">
              <w:t>54 units / 75 days</w:t>
            </w:r>
          </w:p>
        </w:tc>
      </w:tr>
      <w:tr w:rsidR="00456067" w:rsidRPr="00DE1FF5" w14:paraId="7315D4BC" w14:textId="77777777" w:rsidTr="00455B1F">
        <w:trPr>
          <w:cantSplit/>
        </w:trPr>
        <w:tc>
          <w:tcPr>
            <w:tcW w:w="2112" w:type="dxa"/>
          </w:tcPr>
          <w:p w14:paraId="1F586F5E" w14:textId="77777777" w:rsidR="00456067" w:rsidRPr="00DE1FF5" w:rsidRDefault="00456067" w:rsidP="00C64195">
            <w:pPr>
              <w:pStyle w:val="TableData"/>
              <w:spacing w:after="0"/>
            </w:pPr>
            <w:r w:rsidRPr="00DE1FF5">
              <w:t>Imitrex Tablets</w:t>
            </w:r>
            <w:r w:rsidR="00C64195">
              <w:t xml:space="preserve"> </w:t>
            </w:r>
            <w:r w:rsidRPr="00DE1FF5">
              <w:t>(sumatriptan)</w:t>
            </w:r>
          </w:p>
        </w:tc>
        <w:tc>
          <w:tcPr>
            <w:tcW w:w="1440" w:type="dxa"/>
            <w:vAlign w:val="center"/>
          </w:tcPr>
          <w:p w14:paraId="1EB52265" w14:textId="77777777" w:rsidR="00456067" w:rsidRPr="00DE1FF5" w:rsidRDefault="00456067" w:rsidP="00456067">
            <w:pPr>
              <w:pStyle w:val="TableData"/>
            </w:pPr>
            <w:r w:rsidRPr="00DE1FF5">
              <w:t>25 mg, 50 mg</w:t>
            </w:r>
          </w:p>
        </w:tc>
        <w:tc>
          <w:tcPr>
            <w:tcW w:w="1998" w:type="dxa"/>
            <w:vAlign w:val="center"/>
          </w:tcPr>
          <w:p w14:paraId="25F54DD7" w14:textId="77777777" w:rsidR="00456067" w:rsidRPr="00DE1FF5" w:rsidRDefault="00456067" w:rsidP="00456067">
            <w:pPr>
              <w:pStyle w:val="TableData"/>
            </w:pPr>
            <w:r w:rsidRPr="00DE1FF5">
              <w:t>2 tablets</w:t>
            </w:r>
          </w:p>
        </w:tc>
        <w:tc>
          <w:tcPr>
            <w:tcW w:w="2475" w:type="dxa"/>
            <w:vAlign w:val="center"/>
          </w:tcPr>
          <w:p w14:paraId="4EB80014" w14:textId="77777777" w:rsidR="00456067" w:rsidRPr="00DE1FF5" w:rsidRDefault="00456067" w:rsidP="00456067">
            <w:pPr>
              <w:pStyle w:val="TableData"/>
            </w:pPr>
            <w:r w:rsidRPr="00DE1FF5">
              <w:t>18 tablets / 25 days</w:t>
            </w:r>
          </w:p>
        </w:tc>
        <w:tc>
          <w:tcPr>
            <w:tcW w:w="2817" w:type="dxa"/>
            <w:vAlign w:val="center"/>
          </w:tcPr>
          <w:p w14:paraId="03E7EA58" w14:textId="77777777" w:rsidR="00456067" w:rsidRPr="00DE1FF5" w:rsidRDefault="00456067" w:rsidP="00456067">
            <w:pPr>
              <w:pStyle w:val="TableData"/>
            </w:pPr>
            <w:r w:rsidRPr="00DE1FF5">
              <w:t>54 tablets / 75 days</w:t>
            </w:r>
          </w:p>
        </w:tc>
      </w:tr>
      <w:tr w:rsidR="00456067" w:rsidRPr="00DE1FF5" w14:paraId="6D48CECF" w14:textId="77777777" w:rsidTr="00455B1F">
        <w:trPr>
          <w:cantSplit/>
        </w:trPr>
        <w:tc>
          <w:tcPr>
            <w:tcW w:w="2112" w:type="dxa"/>
          </w:tcPr>
          <w:p w14:paraId="278F14ED" w14:textId="77777777" w:rsidR="00456067" w:rsidRPr="00DE1FF5" w:rsidRDefault="00456067" w:rsidP="00C64195">
            <w:pPr>
              <w:pStyle w:val="TableData"/>
              <w:spacing w:after="0"/>
            </w:pPr>
            <w:r w:rsidRPr="00DE1FF5">
              <w:t>Imitrex Tablets</w:t>
            </w:r>
            <w:r w:rsidR="00C64195">
              <w:t xml:space="preserve"> </w:t>
            </w:r>
            <w:r w:rsidRPr="00DE1FF5">
              <w:t>(sumatriptan)</w:t>
            </w:r>
          </w:p>
        </w:tc>
        <w:tc>
          <w:tcPr>
            <w:tcW w:w="1440" w:type="dxa"/>
            <w:vAlign w:val="center"/>
          </w:tcPr>
          <w:p w14:paraId="37229FD7" w14:textId="77777777" w:rsidR="00456067" w:rsidRPr="00DE1FF5" w:rsidRDefault="00456067" w:rsidP="00456067">
            <w:pPr>
              <w:pStyle w:val="TableData"/>
            </w:pPr>
            <w:r w:rsidRPr="00DE1FF5">
              <w:t>100 mg</w:t>
            </w:r>
          </w:p>
        </w:tc>
        <w:tc>
          <w:tcPr>
            <w:tcW w:w="1998" w:type="dxa"/>
            <w:vAlign w:val="center"/>
          </w:tcPr>
          <w:p w14:paraId="465AC97B" w14:textId="77777777" w:rsidR="00456067" w:rsidRPr="00DE1FF5" w:rsidRDefault="00456067" w:rsidP="00456067">
            <w:pPr>
              <w:pStyle w:val="TableData"/>
            </w:pPr>
            <w:r w:rsidRPr="00DE1FF5">
              <w:t>2 tablets</w:t>
            </w:r>
          </w:p>
          <w:p w14:paraId="23F04D60" w14:textId="77777777" w:rsidR="00456067" w:rsidRPr="00DE1FF5" w:rsidRDefault="00456067" w:rsidP="00456067">
            <w:pPr>
              <w:pStyle w:val="TableData"/>
            </w:pPr>
            <w:r w:rsidRPr="00DE1FF5">
              <w:t>200 mg</w:t>
            </w:r>
          </w:p>
        </w:tc>
        <w:tc>
          <w:tcPr>
            <w:tcW w:w="2475" w:type="dxa"/>
            <w:vAlign w:val="center"/>
          </w:tcPr>
          <w:p w14:paraId="54D51F9C" w14:textId="77777777" w:rsidR="00456067" w:rsidRPr="00DE1FF5" w:rsidRDefault="00456067" w:rsidP="00456067">
            <w:pPr>
              <w:pStyle w:val="TableData"/>
            </w:pPr>
            <w:r w:rsidRPr="00DE1FF5">
              <w:t>18 tablets / 25 days</w:t>
            </w:r>
          </w:p>
        </w:tc>
        <w:tc>
          <w:tcPr>
            <w:tcW w:w="2817" w:type="dxa"/>
            <w:vAlign w:val="center"/>
          </w:tcPr>
          <w:p w14:paraId="0F2A854F" w14:textId="77777777" w:rsidR="00456067" w:rsidRPr="00DE1FF5" w:rsidRDefault="00456067" w:rsidP="00456067">
            <w:pPr>
              <w:pStyle w:val="TableData"/>
            </w:pPr>
            <w:r w:rsidRPr="00DE1FF5">
              <w:t>54 tablets / 75 days</w:t>
            </w:r>
          </w:p>
        </w:tc>
      </w:tr>
      <w:tr w:rsidR="00A25174" w:rsidRPr="00DE1FF5" w14:paraId="76A6FD85" w14:textId="77777777" w:rsidTr="00455B1F">
        <w:trPr>
          <w:cantSplit/>
        </w:trPr>
        <w:tc>
          <w:tcPr>
            <w:tcW w:w="2112" w:type="dxa"/>
            <w:vAlign w:val="center"/>
          </w:tcPr>
          <w:p w14:paraId="1D32D45C" w14:textId="77777777" w:rsidR="00A25174" w:rsidRPr="00DE1FF5" w:rsidRDefault="00A25174" w:rsidP="00C64195">
            <w:pPr>
              <w:pStyle w:val="TableData"/>
              <w:spacing w:after="0"/>
              <w:ind w:right="498"/>
            </w:pPr>
            <w:r w:rsidRPr="00DE1FF5">
              <w:t>Maxalt</w:t>
            </w:r>
            <w:r w:rsidR="00C64195">
              <w:t xml:space="preserve"> </w:t>
            </w:r>
            <w:r w:rsidRPr="00DE1FF5">
              <w:t>Maxalt-MLT</w:t>
            </w:r>
            <w:r w:rsidR="00C64195">
              <w:t xml:space="preserve"> </w:t>
            </w:r>
            <w:r w:rsidRPr="00DE1FF5">
              <w:t>(rizatriptan)</w:t>
            </w:r>
          </w:p>
        </w:tc>
        <w:tc>
          <w:tcPr>
            <w:tcW w:w="1440" w:type="dxa"/>
            <w:vAlign w:val="center"/>
          </w:tcPr>
          <w:p w14:paraId="42099C52" w14:textId="77777777" w:rsidR="00A25174" w:rsidRPr="00DE1FF5" w:rsidRDefault="00A25174" w:rsidP="00A25174">
            <w:pPr>
              <w:pStyle w:val="TableData"/>
            </w:pPr>
            <w:r w:rsidRPr="00DE1FF5">
              <w:t>5 mg</w:t>
            </w:r>
          </w:p>
        </w:tc>
        <w:tc>
          <w:tcPr>
            <w:tcW w:w="1998" w:type="dxa"/>
            <w:vAlign w:val="center"/>
          </w:tcPr>
          <w:p w14:paraId="05BED9E6" w14:textId="77777777" w:rsidR="00A25174" w:rsidRPr="00DE1FF5" w:rsidRDefault="00A25174" w:rsidP="00A25174">
            <w:pPr>
              <w:pStyle w:val="TableData"/>
            </w:pPr>
            <w:r w:rsidRPr="00DE1FF5">
              <w:t>3 tablets</w:t>
            </w:r>
          </w:p>
        </w:tc>
        <w:tc>
          <w:tcPr>
            <w:tcW w:w="2475" w:type="dxa"/>
            <w:vAlign w:val="center"/>
          </w:tcPr>
          <w:p w14:paraId="05B9F372" w14:textId="77777777" w:rsidR="00A25174" w:rsidRPr="00DE1FF5" w:rsidRDefault="00A25174" w:rsidP="00A25174">
            <w:pPr>
              <w:pStyle w:val="TableData"/>
            </w:pPr>
            <w:r w:rsidRPr="00DE1FF5">
              <w:t>27 tablets / 25 days</w:t>
            </w:r>
          </w:p>
        </w:tc>
        <w:tc>
          <w:tcPr>
            <w:tcW w:w="2817" w:type="dxa"/>
            <w:vAlign w:val="center"/>
          </w:tcPr>
          <w:p w14:paraId="49BD1A4E" w14:textId="77777777" w:rsidR="00A25174" w:rsidRPr="00DE1FF5" w:rsidRDefault="00A25174" w:rsidP="00A25174">
            <w:pPr>
              <w:pStyle w:val="TableData"/>
            </w:pPr>
            <w:r w:rsidRPr="00DE1FF5">
              <w:t>81 tablets / 75 days</w:t>
            </w:r>
          </w:p>
        </w:tc>
      </w:tr>
      <w:tr w:rsidR="00A25174" w:rsidRPr="00DE1FF5" w14:paraId="36B29FF4" w14:textId="77777777" w:rsidTr="00455B1F">
        <w:trPr>
          <w:cantSplit/>
        </w:trPr>
        <w:tc>
          <w:tcPr>
            <w:tcW w:w="2112" w:type="dxa"/>
            <w:vAlign w:val="center"/>
          </w:tcPr>
          <w:p w14:paraId="7F58D9B0" w14:textId="77777777" w:rsidR="00A25174" w:rsidRPr="00DE1FF5" w:rsidRDefault="00A25174" w:rsidP="00CF3E52">
            <w:pPr>
              <w:pStyle w:val="TableData"/>
              <w:spacing w:after="0"/>
              <w:ind w:right="588"/>
            </w:pPr>
            <w:r w:rsidRPr="00DE1FF5">
              <w:t>Maxalt</w:t>
            </w:r>
            <w:r w:rsidR="00CF3E52">
              <w:t xml:space="preserve"> </w:t>
            </w:r>
            <w:r w:rsidRPr="00DE1FF5">
              <w:t>Maxalt-MLT</w:t>
            </w:r>
            <w:r w:rsidR="00CF3E52">
              <w:t xml:space="preserve"> </w:t>
            </w:r>
            <w:r w:rsidRPr="00DE1FF5">
              <w:t>(rizatriptan)</w:t>
            </w:r>
          </w:p>
        </w:tc>
        <w:tc>
          <w:tcPr>
            <w:tcW w:w="1440" w:type="dxa"/>
            <w:vAlign w:val="center"/>
          </w:tcPr>
          <w:p w14:paraId="0EA4373E" w14:textId="77777777" w:rsidR="00A25174" w:rsidRPr="00DE1FF5" w:rsidRDefault="00A25174" w:rsidP="00A25174">
            <w:pPr>
              <w:pStyle w:val="TableData"/>
            </w:pPr>
            <w:r w:rsidRPr="00DE1FF5">
              <w:t>10 mg</w:t>
            </w:r>
          </w:p>
        </w:tc>
        <w:tc>
          <w:tcPr>
            <w:tcW w:w="1998" w:type="dxa"/>
            <w:vAlign w:val="center"/>
          </w:tcPr>
          <w:p w14:paraId="4CE7F434" w14:textId="77777777" w:rsidR="00A25174" w:rsidRPr="00DE1FF5" w:rsidRDefault="00A25174" w:rsidP="00A25174">
            <w:pPr>
              <w:pStyle w:val="TableData"/>
              <w:spacing w:after="0"/>
            </w:pPr>
            <w:r w:rsidRPr="00DE1FF5">
              <w:t>3 tablets</w:t>
            </w:r>
          </w:p>
          <w:p w14:paraId="79904EF2" w14:textId="77777777" w:rsidR="00A25174" w:rsidRPr="00DE1FF5" w:rsidRDefault="00A25174" w:rsidP="00A25174">
            <w:pPr>
              <w:pStyle w:val="TableData"/>
            </w:pPr>
            <w:r w:rsidRPr="00DE1FF5">
              <w:t>30 mg</w:t>
            </w:r>
          </w:p>
        </w:tc>
        <w:tc>
          <w:tcPr>
            <w:tcW w:w="2475" w:type="dxa"/>
            <w:vAlign w:val="center"/>
          </w:tcPr>
          <w:p w14:paraId="303194DF" w14:textId="77777777" w:rsidR="00A25174" w:rsidRPr="00DE1FF5" w:rsidRDefault="00A25174" w:rsidP="00A25174">
            <w:pPr>
              <w:pStyle w:val="TableData"/>
            </w:pPr>
            <w:r w:rsidRPr="00DE1FF5">
              <w:t>27 tablets / 25 days</w:t>
            </w:r>
          </w:p>
        </w:tc>
        <w:tc>
          <w:tcPr>
            <w:tcW w:w="2817" w:type="dxa"/>
            <w:vAlign w:val="center"/>
          </w:tcPr>
          <w:p w14:paraId="79290BB2" w14:textId="77777777" w:rsidR="00A25174" w:rsidRPr="00DE1FF5" w:rsidRDefault="00A25174" w:rsidP="00A25174">
            <w:pPr>
              <w:pStyle w:val="TableData"/>
            </w:pPr>
            <w:r w:rsidRPr="00DE1FF5">
              <w:t>81 tablets / 75 days</w:t>
            </w:r>
          </w:p>
        </w:tc>
      </w:tr>
      <w:tr w:rsidR="00A25174" w:rsidRPr="00DE1FF5" w14:paraId="75F5843C" w14:textId="77777777" w:rsidTr="00455B1F">
        <w:trPr>
          <w:cantSplit/>
        </w:trPr>
        <w:tc>
          <w:tcPr>
            <w:tcW w:w="2112" w:type="dxa"/>
            <w:vAlign w:val="center"/>
          </w:tcPr>
          <w:p w14:paraId="7DAF29E1" w14:textId="77777777" w:rsidR="00A25174" w:rsidRPr="00DE1FF5" w:rsidRDefault="00A25174" w:rsidP="00A25174">
            <w:pPr>
              <w:pStyle w:val="TableData"/>
            </w:pPr>
            <w:r w:rsidRPr="00DE1FF5">
              <w:t>naratriptan</w:t>
            </w:r>
          </w:p>
        </w:tc>
        <w:tc>
          <w:tcPr>
            <w:tcW w:w="1440" w:type="dxa"/>
            <w:vAlign w:val="center"/>
          </w:tcPr>
          <w:p w14:paraId="43E69F90" w14:textId="77777777" w:rsidR="00A25174" w:rsidRPr="00DE1FF5" w:rsidRDefault="00A25174" w:rsidP="00A25174">
            <w:pPr>
              <w:pStyle w:val="TableData"/>
            </w:pPr>
            <w:r w:rsidRPr="00DE1FF5">
              <w:t>1 mg</w:t>
            </w:r>
          </w:p>
        </w:tc>
        <w:tc>
          <w:tcPr>
            <w:tcW w:w="1998" w:type="dxa"/>
            <w:vAlign w:val="center"/>
          </w:tcPr>
          <w:p w14:paraId="018436DA" w14:textId="77777777" w:rsidR="00A25174" w:rsidRPr="00DE1FF5" w:rsidRDefault="00A25174" w:rsidP="00A25174">
            <w:pPr>
              <w:pStyle w:val="TableData"/>
            </w:pPr>
            <w:r w:rsidRPr="00DE1FF5">
              <w:t>2 tablets</w:t>
            </w:r>
          </w:p>
        </w:tc>
        <w:tc>
          <w:tcPr>
            <w:tcW w:w="2475" w:type="dxa"/>
            <w:vAlign w:val="center"/>
          </w:tcPr>
          <w:p w14:paraId="4838ED03" w14:textId="77777777" w:rsidR="00A25174" w:rsidRPr="00DE1FF5" w:rsidRDefault="00A25174" w:rsidP="00A25174">
            <w:pPr>
              <w:pStyle w:val="TableData"/>
            </w:pPr>
            <w:r w:rsidRPr="00DE1FF5">
              <w:t>18 tablets / 25 days</w:t>
            </w:r>
          </w:p>
        </w:tc>
        <w:tc>
          <w:tcPr>
            <w:tcW w:w="2817" w:type="dxa"/>
            <w:vAlign w:val="center"/>
          </w:tcPr>
          <w:p w14:paraId="4AE95F30" w14:textId="77777777" w:rsidR="00A25174" w:rsidRPr="00DE1FF5" w:rsidRDefault="00A25174" w:rsidP="00A25174">
            <w:pPr>
              <w:pStyle w:val="TableData"/>
            </w:pPr>
            <w:r w:rsidRPr="00DE1FF5">
              <w:t>54 tablets / 75 days</w:t>
            </w:r>
          </w:p>
        </w:tc>
      </w:tr>
      <w:tr w:rsidR="00A25174" w:rsidRPr="00DE1FF5" w14:paraId="06483E8A" w14:textId="77777777" w:rsidTr="00455B1F">
        <w:trPr>
          <w:cantSplit/>
        </w:trPr>
        <w:tc>
          <w:tcPr>
            <w:tcW w:w="2112" w:type="dxa"/>
            <w:vAlign w:val="center"/>
          </w:tcPr>
          <w:p w14:paraId="66DEDCCB" w14:textId="77777777" w:rsidR="00A25174" w:rsidRPr="00DE1FF5" w:rsidRDefault="00A25174" w:rsidP="00A25174">
            <w:pPr>
              <w:pStyle w:val="TableData"/>
            </w:pPr>
            <w:r w:rsidRPr="00DE1FF5">
              <w:t>naratriptan</w:t>
            </w:r>
          </w:p>
        </w:tc>
        <w:tc>
          <w:tcPr>
            <w:tcW w:w="1440" w:type="dxa"/>
            <w:vAlign w:val="center"/>
          </w:tcPr>
          <w:p w14:paraId="0EC94046" w14:textId="77777777" w:rsidR="00A25174" w:rsidRPr="00DE1FF5" w:rsidRDefault="00A25174" w:rsidP="00A25174">
            <w:pPr>
              <w:pStyle w:val="TableData"/>
            </w:pPr>
            <w:r w:rsidRPr="00DE1FF5">
              <w:t>2.5 mg</w:t>
            </w:r>
          </w:p>
        </w:tc>
        <w:tc>
          <w:tcPr>
            <w:tcW w:w="1998" w:type="dxa"/>
            <w:vAlign w:val="center"/>
          </w:tcPr>
          <w:p w14:paraId="59B37FD1" w14:textId="77777777" w:rsidR="00A25174" w:rsidRPr="00DE1FF5" w:rsidRDefault="00A25174" w:rsidP="00A25174">
            <w:pPr>
              <w:tabs>
                <w:tab w:val="left" w:pos="2160"/>
                <w:tab w:val="left" w:pos="2520"/>
                <w:tab w:val="left" w:pos="2880"/>
                <w:tab w:val="left" w:pos="5580"/>
                <w:tab w:val="left" w:pos="6480"/>
              </w:tabs>
              <w:rPr>
                <w:rFonts w:eastAsia="Arial" w:cs="Arial"/>
                <w:szCs w:val="22"/>
              </w:rPr>
            </w:pPr>
            <w:r w:rsidRPr="00DE1FF5">
              <w:rPr>
                <w:rFonts w:eastAsia="Arial" w:cs="Arial"/>
                <w:szCs w:val="22"/>
              </w:rPr>
              <w:t>2 tablets</w:t>
            </w:r>
          </w:p>
          <w:p w14:paraId="563B4C37" w14:textId="77777777" w:rsidR="00A25174" w:rsidRPr="00DE1FF5" w:rsidRDefault="00A25174" w:rsidP="00A25174">
            <w:pPr>
              <w:pStyle w:val="TableData"/>
            </w:pPr>
            <w:r w:rsidRPr="00DE1FF5">
              <w:t>5 mg</w:t>
            </w:r>
          </w:p>
        </w:tc>
        <w:tc>
          <w:tcPr>
            <w:tcW w:w="2475" w:type="dxa"/>
            <w:vAlign w:val="center"/>
          </w:tcPr>
          <w:p w14:paraId="3BE7CB46" w14:textId="77777777" w:rsidR="00A25174" w:rsidRPr="00DE1FF5" w:rsidRDefault="00A25174" w:rsidP="00A25174">
            <w:pPr>
              <w:pStyle w:val="TableData"/>
            </w:pPr>
            <w:r w:rsidRPr="00DE1FF5">
              <w:t>18 tablets / 25 days</w:t>
            </w:r>
          </w:p>
        </w:tc>
        <w:tc>
          <w:tcPr>
            <w:tcW w:w="2817" w:type="dxa"/>
            <w:vAlign w:val="center"/>
          </w:tcPr>
          <w:p w14:paraId="466E087B" w14:textId="77777777" w:rsidR="00A25174" w:rsidRPr="00DE1FF5" w:rsidRDefault="00A25174" w:rsidP="00A25174">
            <w:pPr>
              <w:pStyle w:val="TableData"/>
            </w:pPr>
            <w:r w:rsidRPr="00DE1FF5">
              <w:t>54 tablets / 75 days</w:t>
            </w:r>
          </w:p>
        </w:tc>
      </w:tr>
      <w:tr w:rsidR="00A25174" w:rsidRPr="00DE1FF5" w14:paraId="666435E9" w14:textId="77777777" w:rsidTr="00455B1F">
        <w:trPr>
          <w:cantSplit/>
        </w:trPr>
        <w:tc>
          <w:tcPr>
            <w:tcW w:w="2112" w:type="dxa"/>
            <w:vAlign w:val="center"/>
          </w:tcPr>
          <w:p w14:paraId="1C93DE2C" w14:textId="77777777" w:rsidR="00A25174" w:rsidRPr="00DE1FF5" w:rsidRDefault="00A25174" w:rsidP="00C64195">
            <w:pPr>
              <w:pStyle w:val="TableData"/>
              <w:spacing w:after="0"/>
            </w:pPr>
            <w:r w:rsidRPr="00DE1FF5">
              <w:t>Onzetra Xsail</w:t>
            </w:r>
            <w:r w:rsidR="00C64195">
              <w:t xml:space="preserve"> </w:t>
            </w:r>
            <w:r w:rsidRPr="00DE1FF5">
              <w:t>(sumatriptan)</w:t>
            </w:r>
          </w:p>
        </w:tc>
        <w:tc>
          <w:tcPr>
            <w:tcW w:w="1440" w:type="dxa"/>
            <w:vAlign w:val="center"/>
          </w:tcPr>
          <w:p w14:paraId="6FBEEDA3" w14:textId="77777777" w:rsidR="00A25174" w:rsidRPr="00DE1FF5" w:rsidRDefault="00A25174" w:rsidP="00A25174">
            <w:pPr>
              <w:pStyle w:val="TableData"/>
            </w:pPr>
            <w:r w:rsidRPr="00DE1FF5">
              <w:t>11 mg</w:t>
            </w:r>
          </w:p>
        </w:tc>
        <w:tc>
          <w:tcPr>
            <w:tcW w:w="1998" w:type="dxa"/>
            <w:vAlign w:val="center"/>
          </w:tcPr>
          <w:p w14:paraId="0AAF7423" w14:textId="77777777" w:rsidR="00A25174" w:rsidRPr="00DE1FF5" w:rsidRDefault="00A25174" w:rsidP="00A25174">
            <w:pPr>
              <w:pStyle w:val="TableData"/>
              <w:spacing w:after="0"/>
            </w:pPr>
            <w:r w:rsidRPr="00DE1FF5">
              <w:t>4 nosepieces</w:t>
            </w:r>
          </w:p>
          <w:p w14:paraId="0807282D" w14:textId="77777777" w:rsidR="00A25174" w:rsidRPr="00DE1FF5" w:rsidRDefault="00A25174" w:rsidP="00A25174">
            <w:pPr>
              <w:pStyle w:val="TableData"/>
            </w:pPr>
            <w:r w:rsidRPr="00DE1FF5">
              <w:t>44 mg</w:t>
            </w:r>
          </w:p>
        </w:tc>
        <w:tc>
          <w:tcPr>
            <w:tcW w:w="2475" w:type="dxa"/>
            <w:vAlign w:val="center"/>
          </w:tcPr>
          <w:p w14:paraId="159D0870" w14:textId="77777777" w:rsidR="00A25174" w:rsidRPr="00DE1FF5" w:rsidRDefault="00A25174" w:rsidP="00A25174">
            <w:pPr>
              <w:pStyle w:val="TableData"/>
              <w:spacing w:after="0"/>
            </w:pPr>
            <w:r w:rsidRPr="00DE1FF5">
              <w:t>32 nosepieces / 25 days</w:t>
            </w:r>
            <w:r w:rsidR="00C64195">
              <w:t xml:space="preserve"> </w:t>
            </w:r>
          </w:p>
          <w:p w14:paraId="44596C1B" w14:textId="77777777" w:rsidR="00A25174" w:rsidRPr="00DE1FF5" w:rsidRDefault="00A25174" w:rsidP="00A25174">
            <w:pPr>
              <w:pStyle w:val="TableData"/>
            </w:pPr>
            <w:r w:rsidRPr="00DE1FF5">
              <w:t xml:space="preserve">(2 kits, 16 pouches) </w:t>
            </w:r>
          </w:p>
        </w:tc>
        <w:tc>
          <w:tcPr>
            <w:tcW w:w="2817" w:type="dxa"/>
            <w:vAlign w:val="center"/>
          </w:tcPr>
          <w:p w14:paraId="35952339" w14:textId="77777777" w:rsidR="00A25174" w:rsidRPr="00DE1FF5" w:rsidRDefault="00A25174" w:rsidP="00A25174">
            <w:pPr>
              <w:pStyle w:val="TableData"/>
              <w:spacing w:after="0"/>
            </w:pPr>
            <w:r w:rsidRPr="00DE1FF5">
              <w:t xml:space="preserve">96 nosepieces / 75 days </w:t>
            </w:r>
          </w:p>
          <w:p w14:paraId="35750C43" w14:textId="77777777" w:rsidR="00A25174" w:rsidRPr="00DE1FF5" w:rsidRDefault="00A25174" w:rsidP="00A25174">
            <w:pPr>
              <w:pStyle w:val="TableData"/>
            </w:pPr>
            <w:r w:rsidRPr="00DE1FF5">
              <w:t xml:space="preserve">(6 kits, 48 pouches) </w:t>
            </w:r>
          </w:p>
        </w:tc>
      </w:tr>
      <w:tr w:rsidR="00A25174" w:rsidRPr="00DE1FF5" w14:paraId="45032FD2" w14:textId="77777777" w:rsidTr="00C64195">
        <w:trPr>
          <w:cantSplit/>
        </w:trPr>
        <w:tc>
          <w:tcPr>
            <w:tcW w:w="2112" w:type="dxa"/>
            <w:vAlign w:val="center"/>
          </w:tcPr>
          <w:p w14:paraId="2D75281A" w14:textId="77777777" w:rsidR="00A25174" w:rsidRPr="00DE1FF5" w:rsidRDefault="00A25174" w:rsidP="00C64195">
            <w:pPr>
              <w:pStyle w:val="TableData"/>
              <w:spacing w:after="0"/>
              <w:ind w:right="138"/>
            </w:pPr>
            <w:r w:rsidRPr="00DE1FF5">
              <w:t>Relpax</w:t>
            </w:r>
            <w:r w:rsidR="00C64195">
              <w:t xml:space="preserve"> </w:t>
            </w:r>
            <w:r w:rsidRPr="00DE1FF5">
              <w:t>(eletriptan)</w:t>
            </w:r>
          </w:p>
        </w:tc>
        <w:tc>
          <w:tcPr>
            <w:tcW w:w="1440" w:type="dxa"/>
            <w:vAlign w:val="center"/>
          </w:tcPr>
          <w:p w14:paraId="02903BF9" w14:textId="77777777" w:rsidR="00A25174" w:rsidRPr="00DE1FF5" w:rsidRDefault="00A25174" w:rsidP="00A25174">
            <w:pPr>
              <w:pStyle w:val="TableData"/>
            </w:pPr>
            <w:r w:rsidRPr="00DE1FF5">
              <w:t>20 mg</w:t>
            </w:r>
          </w:p>
        </w:tc>
        <w:tc>
          <w:tcPr>
            <w:tcW w:w="1998" w:type="dxa"/>
            <w:vAlign w:val="center"/>
          </w:tcPr>
          <w:p w14:paraId="725980B8" w14:textId="77777777" w:rsidR="00A25174" w:rsidRPr="00DE1FF5" w:rsidRDefault="00A25174" w:rsidP="00A25174">
            <w:pPr>
              <w:pStyle w:val="TableData"/>
            </w:pPr>
            <w:r w:rsidRPr="00DE1FF5">
              <w:t>2 tablets</w:t>
            </w:r>
          </w:p>
        </w:tc>
        <w:tc>
          <w:tcPr>
            <w:tcW w:w="2475" w:type="dxa"/>
            <w:vAlign w:val="center"/>
          </w:tcPr>
          <w:p w14:paraId="6EABF4B3" w14:textId="77777777" w:rsidR="00A25174" w:rsidRPr="00DE1FF5" w:rsidRDefault="00A25174" w:rsidP="00A25174">
            <w:pPr>
              <w:pStyle w:val="TableData"/>
            </w:pPr>
            <w:r w:rsidRPr="00DE1FF5">
              <w:t>18 tablets / 25 days</w:t>
            </w:r>
          </w:p>
        </w:tc>
        <w:tc>
          <w:tcPr>
            <w:tcW w:w="2817" w:type="dxa"/>
            <w:vAlign w:val="center"/>
          </w:tcPr>
          <w:p w14:paraId="55D7707C" w14:textId="77777777" w:rsidR="00A25174" w:rsidRPr="00DE1FF5" w:rsidRDefault="00A25174" w:rsidP="00A25174">
            <w:pPr>
              <w:pStyle w:val="TableData"/>
            </w:pPr>
            <w:r w:rsidRPr="00DE1FF5">
              <w:t>54 tablets / 75 days</w:t>
            </w:r>
          </w:p>
        </w:tc>
      </w:tr>
      <w:tr w:rsidR="00A25174" w:rsidRPr="00DE1FF5" w14:paraId="0A106BA7" w14:textId="77777777" w:rsidTr="00C64195">
        <w:trPr>
          <w:cantSplit/>
        </w:trPr>
        <w:tc>
          <w:tcPr>
            <w:tcW w:w="2112" w:type="dxa"/>
            <w:vAlign w:val="center"/>
          </w:tcPr>
          <w:p w14:paraId="264E5EE9" w14:textId="77777777" w:rsidR="00A25174" w:rsidRPr="00DE1FF5" w:rsidRDefault="00A25174" w:rsidP="00C64195">
            <w:pPr>
              <w:pStyle w:val="TableData"/>
              <w:spacing w:after="0"/>
              <w:ind w:right="138"/>
            </w:pPr>
            <w:r w:rsidRPr="00DE1FF5">
              <w:t>Relpax</w:t>
            </w:r>
            <w:r w:rsidR="00C64195">
              <w:t xml:space="preserve"> </w:t>
            </w:r>
            <w:r w:rsidRPr="00DE1FF5">
              <w:t>(eletriptan)</w:t>
            </w:r>
          </w:p>
        </w:tc>
        <w:tc>
          <w:tcPr>
            <w:tcW w:w="1440" w:type="dxa"/>
            <w:vAlign w:val="center"/>
          </w:tcPr>
          <w:p w14:paraId="279BDF65" w14:textId="77777777" w:rsidR="00A25174" w:rsidRPr="00DE1FF5" w:rsidRDefault="00A25174" w:rsidP="00A25174">
            <w:pPr>
              <w:pStyle w:val="TableData"/>
            </w:pPr>
            <w:r w:rsidRPr="00DE1FF5">
              <w:t>40 mg</w:t>
            </w:r>
          </w:p>
        </w:tc>
        <w:tc>
          <w:tcPr>
            <w:tcW w:w="1998" w:type="dxa"/>
            <w:vAlign w:val="center"/>
          </w:tcPr>
          <w:p w14:paraId="21D5FBDC" w14:textId="77777777" w:rsidR="00A25174" w:rsidRPr="00DE1FF5" w:rsidRDefault="00A25174" w:rsidP="00A25174">
            <w:pPr>
              <w:pStyle w:val="TableData"/>
              <w:spacing w:after="0"/>
            </w:pPr>
            <w:r w:rsidRPr="00DE1FF5">
              <w:t>2 tablets</w:t>
            </w:r>
          </w:p>
          <w:p w14:paraId="292BFC6B" w14:textId="77777777" w:rsidR="00A25174" w:rsidRPr="00DE1FF5" w:rsidRDefault="00A25174" w:rsidP="00A25174">
            <w:pPr>
              <w:pStyle w:val="TableData"/>
            </w:pPr>
            <w:r w:rsidRPr="00DE1FF5">
              <w:t>80 mg</w:t>
            </w:r>
          </w:p>
        </w:tc>
        <w:tc>
          <w:tcPr>
            <w:tcW w:w="2475" w:type="dxa"/>
            <w:vAlign w:val="center"/>
          </w:tcPr>
          <w:p w14:paraId="177F5204" w14:textId="77777777" w:rsidR="00A25174" w:rsidRPr="00DE1FF5" w:rsidRDefault="00A25174" w:rsidP="00A25174">
            <w:pPr>
              <w:pStyle w:val="TableData"/>
            </w:pPr>
            <w:r w:rsidRPr="00DE1FF5">
              <w:t>18 tablets / 25 days</w:t>
            </w:r>
          </w:p>
        </w:tc>
        <w:tc>
          <w:tcPr>
            <w:tcW w:w="2817" w:type="dxa"/>
            <w:vAlign w:val="center"/>
          </w:tcPr>
          <w:p w14:paraId="0A7A1F53" w14:textId="77777777" w:rsidR="00A25174" w:rsidRPr="00DE1FF5" w:rsidRDefault="00A25174" w:rsidP="00A25174">
            <w:pPr>
              <w:pStyle w:val="TableData"/>
            </w:pPr>
            <w:r w:rsidRPr="00DE1FF5">
              <w:t>54 tablets / 75 days</w:t>
            </w:r>
          </w:p>
        </w:tc>
      </w:tr>
      <w:tr w:rsidR="00A25174" w:rsidRPr="00DE1FF5" w14:paraId="7EDAD9A9" w14:textId="77777777" w:rsidTr="00C64195">
        <w:trPr>
          <w:cantSplit/>
        </w:trPr>
        <w:tc>
          <w:tcPr>
            <w:tcW w:w="2112" w:type="dxa"/>
            <w:vAlign w:val="center"/>
          </w:tcPr>
          <w:p w14:paraId="32FE977F" w14:textId="77777777" w:rsidR="00A25174" w:rsidRPr="00DE1FF5" w:rsidRDefault="00A25174" w:rsidP="00C64195">
            <w:pPr>
              <w:pStyle w:val="TableData"/>
              <w:spacing w:after="0"/>
            </w:pPr>
            <w:r w:rsidRPr="00DE1FF5">
              <w:t>RizaFilm (rizatriptan)</w:t>
            </w:r>
          </w:p>
        </w:tc>
        <w:tc>
          <w:tcPr>
            <w:tcW w:w="1440" w:type="dxa"/>
            <w:vAlign w:val="center"/>
          </w:tcPr>
          <w:p w14:paraId="6C06B4F5" w14:textId="77777777" w:rsidR="00A25174" w:rsidRPr="00DE1FF5" w:rsidRDefault="00A25174" w:rsidP="00A25174">
            <w:pPr>
              <w:pStyle w:val="TableData"/>
            </w:pPr>
            <w:r w:rsidRPr="00DE1FF5">
              <w:t>10 mg</w:t>
            </w:r>
          </w:p>
        </w:tc>
        <w:tc>
          <w:tcPr>
            <w:tcW w:w="1998" w:type="dxa"/>
            <w:vAlign w:val="center"/>
          </w:tcPr>
          <w:p w14:paraId="58590254" w14:textId="77777777" w:rsidR="00A25174" w:rsidRPr="00DE1FF5" w:rsidRDefault="00A25174" w:rsidP="00A25174">
            <w:pPr>
              <w:pStyle w:val="TableData"/>
              <w:spacing w:after="0"/>
            </w:pPr>
            <w:r w:rsidRPr="00DE1FF5">
              <w:t>3 oral films</w:t>
            </w:r>
          </w:p>
          <w:p w14:paraId="69BB3CEF" w14:textId="77777777" w:rsidR="00A25174" w:rsidRPr="00DE1FF5" w:rsidRDefault="00A25174" w:rsidP="00A25174">
            <w:pPr>
              <w:pStyle w:val="TableData"/>
            </w:pPr>
            <w:r w:rsidRPr="00DE1FF5">
              <w:lastRenderedPageBreak/>
              <w:t>30 mg</w:t>
            </w:r>
          </w:p>
        </w:tc>
        <w:tc>
          <w:tcPr>
            <w:tcW w:w="2475" w:type="dxa"/>
            <w:vAlign w:val="center"/>
          </w:tcPr>
          <w:p w14:paraId="4F1D96A8" w14:textId="77777777" w:rsidR="00A25174" w:rsidRPr="00DE1FF5" w:rsidRDefault="00A25174" w:rsidP="00A25174">
            <w:pPr>
              <w:pStyle w:val="TableData"/>
            </w:pPr>
            <w:r w:rsidRPr="00DE1FF5">
              <w:lastRenderedPageBreak/>
              <w:t>27 films / 25 days</w:t>
            </w:r>
          </w:p>
        </w:tc>
        <w:tc>
          <w:tcPr>
            <w:tcW w:w="2817" w:type="dxa"/>
            <w:vAlign w:val="center"/>
          </w:tcPr>
          <w:p w14:paraId="3D299235" w14:textId="77777777" w:rsidR="00A25174" w:rsidRPr="00DE1FF5" w:rsidRDefault="00A25174" w:rsidP="00A25174">
            <w:pPr>
              <w:pStyle w:val="TableData"/>
            </w:pPr>
            <w:r w:rsidRPr="00DE1FF5">
              <w:t>81 films / 75 days</w:t>
            </w:r>
          </w:p>
        </w:tc>
      </w:tr>
      <w:tr w:rsidR="00A25174" w:rsidRPr="00DE1FF5" w14:paraId="58C88797" w14:textId="77777777" w:rsidTr="00C64195">
        <w:trPr>
          <w:cantSplit/>
        </w:trPr>
        <w:tc>
          <w:tcPr>
            <w:tcW w:w="2112" w:type="dxa"/>
            <w:vAlign w:val="center"/>
          </w:tcPr>
          <w:p w14:paraId="2CDD2381" w14:textId="77777777" w:rsidR="00A25174" w:rsidRPr="00DE1FF5" w:rsidRDefault="00A25174" w:rsidP="00C64195">
            <w:pPr>
              <w:pStyle w:val="TableData"/>
              <w:spacing w:after="0"/>
            </w:pPr>
            <w:r w:rsidRPr="00DE1FF5">
              <w:t>Tosymra</w:t>
            </w:r>
            <w:r w:rsidR="00C64195">
              <w:t xml:space="preserve"> </w:t>
            </w:r>
            <w:r w:rsidRPr="00DE1FF5">
              <w:t>(sumatriptan)</w:t>
            </w:r>
          </w:p>
        </w:tc>
        <w:tc>
          <w:tcPr>
            <w:tcW w:w="1440" w:type="dxa"/>
            <w:vAlign w:val="center"/>
          </w:tcPr>
          <w:p w14:paraId="3AA7D020" w14:textId="77777777" w:rsidR="00A25174" w:rsidRPr="00DE1FF5" w:rsidRDefault="00A25174" w:rsidP="00A25174">
            <w:pPr>
              <w:pStyle w:val="TableData"/>
            </w:pPr>
            <w:r w:rsidRPr="00DE1FF5">
              <w:t>10 mg</w:t>
            </w:r>
          </w:p>
        </w:tc>
        <w:tc>
          <w:tcPr>
            <w:tcW w:w="1998" w:type="dxa"/>
            <w:vAlign w:val="center"/>
          </w:tcPr>
          <w:p w14:paraId="52E8214F" w14:textId="77777777" w:rsidR="00A25174" w:rsidRPr="00DE1FF5" w:rsidRDefault="00A25174" w:rsidP="00A25174">
            <w:pPr>
              <w:pStyle w:val="TableData"/>
              <w:spacing w:after="0"/>
            </w:pPr>
            <w:r w:rsidRPr="00DE1FF5">
              <w:t>3 sprays</w:t>
            </w:r>
          </w:p>
          <w:p w14:paraId="2E52AAB1" w14:textId="77777777" w:rsidR="00A25174" w:rsidRPr="00DE1FF5" w:rsidRDefault="00A25174" w:rsidP="00A25174">
            <w:pPr>
              <w:pStyle w:val="TableData"/>
            </w:pPr>
            <w:r w:rsidRPr="00DE1FF5">
              <w:t>30 mg</w:t>
            </w:r>
          </w:p>
        </w:tc>
        <w:tc>
          <w:tcPr>
            <w:tcW w:w="2475" w:type="dxa"/>
            <w:vAlign w:val="center"/>
          </w:tcPr>
          <w:p w14:paraId="346B1DB8" w14:textId="77777777" w:rsidR="00A25174" w:rsidRPr="00DE1FF5" w:rsidRDefault="00A25174" w:rsidP="00A25174">
            <w:pPr>
              <w:pStyle w:val="TableData"/>
            </w:pPr>
            <w:r w:rsidRPr="00DE1FF5">
              <w:t>24 units / 25 days</w:t>
            </w:r>
          </w:p>
        </w:tc>
        <w:tc>
          <w:tcPr>
            <w:tcW w:w="2817" w:type="dxa"/>
            <w:vAlign w:val="center"/>
          </w:tcPr>
          <w:p w14:paraId="0C5FF862" w14:textId="77777777" w:rsidR="00A25174" w:rsidRPr="00DE1FF5" w:rsidRDefault="00A25174" w:rsidP="00A25174">
            <w:pPr>
              <w:pStyle w:val="TableData"/>
            </w:pPr>
            <w:r w:rsidRPr="00DE1FF5">
              <w:t>72 units / 75 days</w:t>
            </w:r>
          </w:p>
        </w:tc>
      </w:tr>
      <w:tr w:rsidR="00A25174" w:rsidRPr="00DE1FF5" w14:paraId="6754A6FE" w14:textId="77777777" w:rsidTr="00455B1F">
        <w:trPr>
          <w:cantSplit/>
        </w:trPr>
        <w:tc>
          <w:tcPr>
            <w:tcW w:w="2112" w:type="dxa"/>
            <w:vAlign w:val="center"/>
          </w:tcPr>
          <w:p w14:paraId="20068A58" w14:textId="77777777" w:rsidR="00A25174" w:rsidRPr="00DE1FF5" w:rsidRDefault="00A25174" w:rsidP="00C64195">
            <w:pPr>
              <w:pStyle w:val="TableData"/>
              <w:spacing w:after="0"/>
            </w:pPr>
            <w:r w:rsidRPr="00DE1FF5">
              <w:t>Treximet</w:t>
            </w:r>
            <w:r w:rsidR="00C64195">
              <w:t xml:space="preserve"> </w:t>
            </w:r>
            <w:r w:rsidRPr="00DE1FF5">
              <w:t>(sumatriptan/naproxen)</w:t>
            </w:r>
          </w:p>
        </w:tc>
        <w:tc>
          <w:tcPr>
            <w:tcW w:w="1440" w:type="dxa"/>
            <w:vAlign w:val="center"/>
          </w:tcPr>
          <w:p w14:paraId="35F60752" w14:textId="77777777" w:rsidR="00A25174" w:rsidRPr="00DE1FF5" w:rsidRDefault="00A25174" w:rsidP="00A25174">
            <w:pPr>
              <w:pStyle w:val="TableData"/>
            </w:pPr>
            <w:r w:rsidRPr="00DE1FF5">
              <w:t>85 mg/500 mg</w:t>
            </w:r>
          </w:p>
        </w:tc>
        <w:tc>
          <w:tcPr>
            <w:tcW w:w="1998" w:type="dxa"/>
            <w:vAlign w:val="center"/>
          </w:tcPr>
          <w:p w14:paraId="3A8394DA" w14:textId="77777777" w:rsidR="00A25174" w:rsidRPr="00DE1FF5" w:rsidRDefault="00A25174" w:rsidP="00A25174">
            <w:pPr>
              <w:pStyle w:val="TableData"/>
            </w:pPr>
            <w:r w:rsidRPr="00DE1FF5">
              <w:t>1-2 tablets 170 mg/1000 mg</w:t>
            </w:r>
          </w:p>
        </w:tc>
        <w:tc>
          <w:tcPr>
            <w:tcW w:w="2475" w:type="dxa"/>
            <w:vAlign w:val="center"/>
          </w:tcPr>
          <w:p w14:paraId="64F254A5" w14:textId="77777777" w:rsidR="00A25174" w:rsidRPr="00DE1FF5" w:rsidRDefault="00A25174" w:rsidP="00A25174">
            <w:pPr>
              <w:pStyle w:val="TableData"/>
            </w:pPr>
            <w:r w:rsidRPr="00DE1FF5">
              <w:t>18 tablets / 25 days</w:t>
            </w:r>
          </w:p>
        </w:tc>
        <w:tc>
          <w:tcPr>
            <w:tcW w:w="2817" w:type="dxa"/>
            <w:vAlign w:val="center"/>
          </w:tcPr>
          <w:p w14:paraId="3FA63BE5" w14:textId="77777777" w:rsidR="00A25174" w:rsidRPr="00DE1FF5" w:rsidRDefault="00A25174" w:rsidP="00A25174">
            <w:pPr>
              <w:pStyle w:val="TableData"/>
            </w:pPr>
            <w:r w:rsidRPr="00DE1FF5">
              <w:t>54 tablets / 75 days</w:t>
            </w:r>
          </w:p>
        </w:tc>
      </w:tr>
      <w:tr w:rsidR="00A25174" w:rsidRPr="00DE1FF5" w14:paraId="7873400A" w14:textId="77777777" w:rsidTr="00455B1F">
        <w:trPr>
          <w:cantSplit/>
        </w:trPr>
        <w:tc>
          <w:tcPr>
            <w:tcW w:w="2112" w:type="dxa"/>
            <w:vAlign w:val="center"/>
          </w:tcPr>
          <w:p w14:paraId="35974035" w14:textId="77777777" w:rsidR="00A25174" w:rsidRPr="00DE1FF5" w:rsidRDefault="00A25174" w:rsidP="00C64195">
            <w:pPr>
              <w:pStyle w:val="TableData"/>
              <w:spacing w:after="0"/>
            </w:pPr>
            <w:r w:rsidRPr="00DE1FF5">
              <w:t>Zembrace SymTouch</w:t>
            </w:r>
            <w:r w:rsidR="00C64195">
              <w:t xml:space="preserve"> </w:t>
            </w:r>
            <w:r w:rsidRPr="00DE1FF5">
              <w:t>(sumatriptan)</w:t>
            </w:r>
          </w:p>
        </w:tc>
        <w:tc>
          <w:tcPr>
            <w:tcW w:w="1440" w:type="dxa"/>
            <w:vAlign w:val="center"/>
          </w:tcPr>
          <w:p w14:paraId="0686F43E" w14:textId="77777777" w:rsidR="00A25174" w:rsidRPr="00DE1FF5" w:rsidRDefault="00A25174" w:rsidP="00A25174">
            <w:pPr>
              <w:pStyle w:val="TableData"/>
            </w:pPr>
            <w:r w:rsidRPr="00DE1FF5">
              <w:t>3 mg</w:t>
            </w:r>
          </w:p>
        </w:tc>
        <w:tc>
          <w:tcPr>
            <w:tcW w:w="1998" w:type="dxa"/>
            <w:vAlign w:val="center"/>
          </w:tcPr>
          <w:p w14:paraId="0254B0D7" w14:textId="77777777" w:rsidR="00A25174" w:rsidRPr="00DE1FF5" w:rsidRDefault="00A25174" w:rsidP="00A25174">
            <w:pPr>
              <w:pStyle w:val="TableData"/>
              <w:spacing w:after="0"/>
            </w:pPr>
            <w:r w:rsidRPr="00DE1FF5">
              <w:t>4 injections</w:t>
            </w:r>
            <w:r w:rsidR="00C64195">
              <w:t xml:space="preserve"> </w:t>
            </w:r>
          </w:p>
          <w:p w14:paraId="0610D212" w14:textId="77777777" w:rsidR="00A25174" w:rsidRPr="00DE1FF5" w:rsidRDefault="00A25174" w:rsidP="00A25174">
            <w:pPr>
              <w:pStyle w:val="TableData"/>
            </w:pPr>
            <w:r w:rsidRPr="00DE1FF5">
              <w:t>12 mg</w:t>
            </w:r>
          </w:p>
        </w:tc>
        <w:tc>
          <w:tcPr>
            <w:tcW w:w="2475" w:type="dxa"/>
            <w:vAlign w:val="center"/>
          </w:tcPr>
          <w:p w14:paraId="4E57A53A" w14:textId="77777777" w:rsidR="00A25174" w:rsidRPr="00DE1FF5" w:rsidRDefault="00A25174" w:rsidP="00A25174">
            <w:pPr>
              <w:pStyle w:val="TableData"/>
            </w:pPr>
            <w:r w:rsidRPr="00DE1FF5">
              <w:t>36 autoinjectors (18 mL) / 25 days</w:t>
            </w:r>
          </w:p>
        </w:tc>
        <w:tc>
          <w:tcPr>
            <w:tcW w:w="2817" w:type="dxa"/>
            <w:vAlign w:val="center"/>
          </w:tcPr>
          <w:p w14:paraId="136A84BF" w14:textId="77777777" w:rsidR="00A25174" w:rsidRPr="00DE1FF5" w:rsidRDefault="00A25174" w:rsidP="00A25174">
            <w:pPr>
              <w:pStyle w:val="TableData"/>
            </w:pPr>
            <w:r w:rsidRPr="00DE1FF5">
              <w:t>108 autoinjectors (54 mL) / 75 days</w:t>
            </w:r>
          </w:p>
        </w:tc>
      </w:tr>
      <w:tr w:rsidR="00A25174" w:rsidRPr="00DE1FF5" w14:paraId="50BE29B5" w14:textId="77777777" w:rsidTr="00455B1F">
        <w:trPr>
          <w:cantSplit/>
        </w:trPr>
        <w:tc>
          <w:tcPr>
            <w:tcW w:w="2112" w:type="dxa"/>
            <w:vAlign w:val="center"/>
          </w:tcPr>
          <w:p w14:paraId="786CC9B9" w14:textId="77777777" w:rsidR="00A25174" w:rsidRPr="00DE1FF5" w:rsidRDefault="00A25174" w:rsidP="00C64195">
            <w:pPr>
              <w:pStyle w:val="TableData"/>
              <w:spacing w:after="0"/>
            </w:pPr>
            <w:r w:rsidRPr="00DE1FF5">
              <w:t>Zomig Nasal Spray</w:t>
            </w:r>
            <w:r w:rsidR="00C64195">
              <w:t xml:space="preserve"> </w:t>
            </w:r>
            <w:r w:rsidRPr="00DE1FF5">
              <w:t>(zolmitriptan)</w:t>
            </w:r>
          </w:p>
        </w:tc>
        <w:tc>
          <w:tcPr>
            <w:tcW w:w="1440" w:type="dxa"/>
            <w:vAlign w:val="center"/>
          </w:tcPr>
          <w:p w14:paraId="0083B56C" w14:textId="77777777" w:rsidR="00A25174" w:rsidRPr="00DE1FF5" w:rsidRDefault="00A25174" w:rsidP="00A25174">
            <w:pPr>
              <w:pStyle w:val="TableData"/>
            </w:pPr>
            <w:r w:rsidRPr="00DE1FF5">
              <w:t>2.5 mg</w:t>
            </w:r>
          </w:p>
        </w:tc>
        <w:tc>
          <w:tcPr>
            <w:tcW w:w="1998" w:type="dxa"/>
            <w:vAlign w:val="center"/>
          </w:tcPr>
          <w:p w14:paraId="57D3A369" w14:textId="77777777" w:rsidR="00A25174" w:rsidRPr="00DE1FF5" w:rsidRDefault="00A25174" w:rsidP="00A25174">
            <w:pPr>
              <w:pStyle w:val="TableData"/>
            </w:pPr>
            <w:r w:rsidRPr="00DE1FF5">
              <w:t>2 sprays</w:t>
            </w:r>
          </w:p>
        </w:tc>
        <w:tc>
          <w:tcPr>
            <w:tcW w:w="2475" w:type="dxa"/>
            <w:vAlign w:val="center"/>
          </w:tcPr>
          <w:p w14:paraId="6D30CF4E" w14:textId="77777777" w:rsidR="00A25174" w:rsidRPr="00DE1FF5" w:rsidRDefault="00A25174" w:rsidP="00A25174">
            <w:pPr>
              <w:pStyle w:val="TableData"/>
            </w:pPr>
            <w:r w:rsidRPr="00DE1FF5">
              <w:t>18 units / 25 days</w:t>
            </w:r>
          </w:p>
        </w:tc>
        <w:tc>
          <w:tcPr>
            <w:tcW w:w="2817" w:type="dxa"/>
            <w:vAlign w:val="center"/>
          </w:tcPr>
          <w:p w14:paraId="048DD8AD" w14:textId="77777777" w:rsidR="00A25174" w:rsidRPr="00DE1FF5" w:rsidRDefault="00A25174" w:rsidP="00A25174">
            <w:pPr>
              <w:pStyle w:val="TableData"/>
            </w:pPr>
            <w:r w:rsidRPr="00DE1FF5">
              <w:t>54 units / 75 days</w:t>
            </w:r>
          </w:p>
        </w:tc>
      </w:tr>
      <w:tr w:rsidR="00A25174" w:rsidRPr="00DE1FF5" w14:paraId="1DBE7F74" w14:textId="77777777" w:rsidTr="00455B1F">
        <w:trPr>
          <w:cantSplit/>
        </w:trPr>
        <w:tc>
          <w:tcPr>
            <w:tcW w:w="2112" w:type="dxa"/>
            <w:vAlign w:val="center"/>
          </w:tcPr>
          <w:p w14:paraId="2A52DBD2" w14:textId="77777777" w:rsidR="00A25174" w:rsidRPr="00DE1FF5" w:rsidRDefault="00A25174" w:rsidP="00C64195">
            <w:pPr>
              <w:pStyle w:val="TableData"/>
              <w:spacing w:after="0"/>
            </w:pPr>
            <w:r w:rsidRPr="00DE1FF5">
              <w:t>Zomig Nasal Spray</w:t>
            </w:r>
            <w:r w:rsidR="00C64195">
              <w:t xml:space="preserve"> </w:t>
            </w:r>
            <w:r w:rsidRPr="00DE1FF5">
              <w:t>(zolmitriptan)</w:t>
            </w:r>
          </w:p>
        </w:tc>
        <w:tc>
          <w:tcPr>
            <w:tcW w:w="1440" w:type="dxa"/>
            <w:vAlign w:val="center"/>
          </w:tcPr>
          <w:p w14:paraId="47C7E3AD" w14:textId="77777777" w:rsidR="00A25174" w:rsidRPr="00DE1FF5" w:rsidRDefault="00A25174" w:rsidP="00A25174">
            <w:pPr>
              <w:pStyle w:val="TableData"/>
            </w:pPr>
            <w:r w:rsidRPr="00DE1FF5">
              <w:t>5 mg</w:t>
            </w:r>
          </w:p>
        </w:tc>
        <w:tc>
          <w:tcPr>
            <w:tcW w:w="1998" w:type="dxa"/>
            <w:vAlign w:val="center"/>
          </w:tcPr>
          <w:p w14:paraId="5A763C43" w14:textId="77777777" w:rsidR="00A25174" w:rsidRPr="00DE1FF5" w:rsidRDefault="00A25174" w:rsidP="00A25174">
            <w:pPr>
              <w:pStyle w:val="TableData"/>
            </w:pPr>
            <w:r w:rsidRPr="00DE1FF5">
              <w:t>2 sprays</w:t>
            </w:r>
          </w:p>
          <w:p w14:paraId="04F2BD12" w14:textId="77777777" w:rsidR="00A25174" w:rsidRPr="00DE1FF5" w:rsidRDefault="00A25174" w:rsidP="00A25174">
            <w:pPr>
              <w:pStyle w:val="TableData"/>
            </w:pPr>
            <w:r w:rsidRPr="00DE1FF5">
              <w:t>10 mg</w:t>
            </w:r>
          </w:p>
        </w:tc>
        <w:tc>
          <w:tcPr>
            <w:tcW w:w="2475" w:type="dxa"/>
            <w:vAlign w:val="center"/>
          </w:tcPr>
          <w:p w14:paraId="6F4C1023" w14:textId="77777777" w:rsidR="00A25174" w:rsidRPr="00DE1FF5" w:rsidRDefault="00A25174" w:rsidP="00A25174">
            <w:pPr>
              <w:pStyle w:val="TableData"/>
            </w:pPr>
            <w:r w:rsidRPr="00DE1FF5">
              <w:t>18 units / 25 days</w:t>
            </w:r>
          </w:p>
        </w:tc>
        <w:tc>
          <w:tcPr>
            <w:tcW w:w="2817" w:type="dxa"/>
            <w:vAlign w:val="center"/>
          </w:tcPr>
          <w:p w14:paraId="5413FC2F" w14:textId="77777777" w:rsidR="00A25174" w:rsidRPr="00DE1FF5" w:rsidRDefault="00A25174" w:rsidP="00A25174">
            <w:pPr>
              <w:pStyle w:val="TableData"/>
            </w:pPr>
            <w:r w:rsidRPr="00DE1FF5">
              <w:t>54 units / 75 days</w:t>
            </w:r>
          </w:p>
        </w:tc>
      </w:tr>
      <w:tr w:rsidR="00A25174" w:rsidRPr="00DE1FF5" w14:paraId="3675CD10" w14:textId="77777777" w:rsidTr="00455B1F">
        <w:trPr>
          <w:cantSplit/>
        </w:trPr>
        <w:tc>
          <w:tcPr>
            <w:tcW w:w="2112" w:type="dxa"/>
            <w:vAlign w:val="center"/>
          </w:tcPr>
          <w:p w14:paraId="302C3997" w14:textId="77777777" w:rsidR="00A25174" w:rsidRPr="00DE1FF5" w:rsidRDefault="00A25174" w:rsidP="00C64195">
            <w:pPr>
              <w:pStyle w:val="TableData"/>
              <w:spacing w:after="0"/>
            </w:pPr>
            <w:r w:rsidRPr="00DE1FF5">
              <w:t>Zomig Tablets (zolmitriptan)</w:t>
            </w:r>
            <w:r w:rsidR="00C64195">
              <w:t xml:space="preserve"> </w:t>
            </w:r>
            <w:r w:rsidRPr="00DE1FF5">
              <w:t>zolmitriptan ODT</w:t>
            </w:r>
          </w:p>
        </w:tc>
        <w:tc>
          <w:tcPr>
            <w:tcW w:w="1440" w:type="dxa"/>
            <w:vAlign w:val="center"/>
          </w:tcPr>
          <w:p w14:paraId="2BAA3564" w14:textId="77777777" w:rsidR="00A25174" w:rsidRPr="00DE1FF5" w:rsidRDefault="00A25174" w:rsidP="00A25174">
            <w:pPr>
              <w:pStyle w:val="TableData"/>
            </w:pPr>
            <w:r w:rsidRPr="00DE1FF5">
              <w:t>2.5 mg</w:t>
            </w:r>
          </w:p>
        </w:tc>
        <w:tc>
          <w:tcPr>
            <w:tcW w:w="1998" w:type="dxa"/>
            <w:vAlign w:val="center"/>
          </w:tcPr>
          <w:p w14:paraId="3BCF0782" w14:textId="77777777" w:rsidR="00A25174" w:rsidRPr="00DE1FF5" w:rsidRDefault="00A25174" w:rsidP="00A25174">
            <w:pPr>
              <w:pStyle w:val="TableData"/>
            </w:pPr>
            <w:r w:rsidRPr="00DE1FF5">
              <w:t>2 tablets</w:t>
            </w:r>
          </w:p>
        </w:tc>
        <w:tc>
          <w:tcPr>
            <w:tcW w:w="2475" w:type="dxa"/>
            <w:vAlign w:val="center"/>
          </w:tcPr>
          <w:p w14:paraId="105FD953" w14:textId="77777777" w:rsidR="00A25174" w:rsidRPr="00DE1FF5" w:rsidRDefault="00A25174" w:rsidP="00A25174">
            <w:pPr>
              <w:pStyle w:val="TableData"/>
            </w:pPr>
            <w:r w:rsidRPr="00DE1FF5">
              <w:t>18 tablets / 25 days</w:t>
            </w:r>
          </w:p>
        </w:tc>
        <w:tc>
          <w:tcPr>
            <w:tcW w:w="2817" w:type="dxa"/>
            <w:vAlign w:val="center"/>
          </w:tcPr>
          <w:p w14:paraId="4821097D" w14:textId="77777777" w:rsidR="00A25174" w:rsidRPr="00DE1FF5" w:rsidRDefault="00A25174" w:rsidP="00A25174">
            <w:pPr>
              <w:pStyle w:val="TableData"/>
            </w:pPr>
            <w:r w:rsidRPr="00DE1FF5">
              <w:t>54 tablets / 75 days</w:t>
            </w:r>
          </w:p>
        </w:tc>
      </w:tr>
      <w:tr w:rsidR="00A25174" w:rsidRPr="00DE1FF5" w14:paraId="752DF230" w14:textId="77777777" w:rsidTr="00455B1F">
        <w:trPr>
          <w:cantSplit/>
        </w:trPr>
        <w:tc>
          <w:tcPr>
            <w:tcW w:w="2112" w:type="dxa"/>
            <w:vAlign w:val="center"/>
          </w:tcPr>
          <w:p w14:paraId="6048B1AE" w14:textId="77777777" w:rsidR="00A25174" w:rsidRPr="00DE1FF5" w:rsidRDefault="00A25174" w:rsidP="00C64195">
            <w:pPr>
              <w:pStyle w:val="TableData"/>
              <w:spacing w:after="0"/>
            </w:pPr>
            <w:r w:rsidRPr="00DE1FF5">
              <w:t>Zomig Tablets (zolmitriptan)</w:t>
            </w:r>
            <w:r w:rsidR="00C64195">
              <w:t xml:space="preserve"> </w:t>
            </w:r>
            <w:r w:rsidRPr="00DE1FF5">
              <w:t>zolmitriptan ODT</w:t>
            </w:r>
          </w:p>
        </w:tc>
        <w:tc>
          <w:tcPr>
            <w:tcW w:w="1440" w:type="dxa"/>
            <w:vAlign w:val="center"/>
          </w:tcPr>
          <w:p w14:paraId="5FD55C5E" w14:textId="77777777" w:rsidR="00A25174" w:rsidRPr="00DE1FF5" w:rsidRDefault="00A25174" w:rsidP="00A25174">
            <w:pPr>
              <w:pStyle w:val="TableData"/>
            </w:pPr>
            <w:r w:rsidRPr="00DE1FF5">
              <w:t>5 mg</w:t>
            </w:r>
          </w:p>
        </w:tc>
        <w:tc>
          <w:tcPr>
            <w:tcW w:w="1998" w:type="dxa"/>
            <w:vAlign w:val="center"/>
          </w:tcPr>
          <w:p w14:paraId="17455B2B" w14:textId="77777777" w:rsidR="00A25174" w:rsidRPr="00DE1FF5" w:rsidRDefault="00A25174" w:rsidP="00A25174">
            <w:pPr>
              <w:pStyle w:val="TableData"/>
              <w:spacing w:after="0"/>
            </w:pPr>
            <w:r w:rsidRPr="00DE1FF5">
              <w:t>2 tablets</w:t>
            </w:r>
          </w:p>
          <w:p w14:paraId="5AC72C01" w14:textId="77777777" w:rsidR="00A25174" w:rsidRPr="00DE1FF5" w:rsidRDefault="00A25174" w:rsidP="00A25174">
            <w:pPr>
              <w:pStyle w:val="TableData"/>
            </w:pPr>
            <w:r w:rsidRPr="00DE1FF5">
              <w:t>10 mg</w:t>
            </w:r>
          </w:p>
        </w:tc>
        <w:tc>
          <w:tcPr>
            <w:tcW w:w="2475" w:type="dxa"/>
            <w:vAlign w:val="center"/>
          </w:tcPr>
          <w:p w14:paraId="25F002B9" w14:textId="77777777" w:rsidR="00A25174" w:rsidRPr="00DE1FF5" w:rsidRDefault="00A25174" w:rsidP="00A25174">
            <w:pPr>
              <w:pStyle w:val="TableData"/>
            </w:pPr>
            <w:r w:rsidRPr="00DE1FF5">
              <w:t>18 tablets / 25 days</w:t>
            </w:r>
          </w:p>
        </w:tc>
        <w:tc>
          <w:tcPr>
            <w:tcW w:w="2817" w:type="dxa"/>
            <w:vAlign w:val="center"/>
          </w:tcPr>
          <w:p w14:paraId="03A53D51" w14:textId="77777777" w:rsidR="00A25174" w:rsidRPr="00DE1FF5" w:rsidRDefault="00A25174" w:rsidP="00A25174">
            <w:pPr>
              <w:pStyle w:val="TableData"/>
            </w:pPr>
            <w:r w:rsidRPr="00DE1FF5">
              <w:t>54 tablets / 75 days</w:t>
            </w:r>
          </w:p>
        </w:tc>
      </w:tr>
    </w:tbl>
    <w:p w14:paraId="7EB10A41" w14:textId="77777777" w:rsidR="00252501" w:rsidRPr="00DE1FF5" w:rsidRDefault="00A25174" w:rsidP="00A25174">
      <w:pPr>
        <w:pStyle w:val="Heading2"/>
      </w:pPr>
      <w:r w:rsidRPr="00DE1FF5">
        <w:t xml:space="preserve">Duration Of Approval (DOA) </w:t>
      </w:r>
    </w:p>
    <w:p w14:paraId="68E35254" w14:textId="77777777" w:rsidR="00252501" w:rsidRPr="00DE1FF5" w:rsidRDefault="00252501" w:rsidP="00A25174">
      <w:pPr>
        <w:pStyle w:val="ListParagraph"/>
        <w:numPr>
          <w:ilvl w:val="0"/>
          <w:numId w:val="49"/>
        </w:numPr>
      </w:pPr>
      <w:r w:rsidRPr="00DE1FF5">
        <w:t>MMT 903-J: DOA: 12 months</w:t>
      </w:r>
    </w:p>
    <w:p w14:paraId="73DA3DF3" w14:textId="69DEDB05" w:rsidR="00252501" w:rsidRPr="00DE1FF5" w:rsidRDefault="00670E87" w:rsidP="00A25174">
      <w:pPr>
        <w:pStyle w:val="ListParagraph"/>
        <w:numPr>
          <w:ilvl w:val="0"/>
          <w:numId w:val="49"/>
        </w:numPr>
      </w:pPr>
      <w:r>
        <w:t>1-</w:t>
      </w:r>
      <w:r w:rsidR="00252501" w:rsidRPr="00DE1FF5">
        <w:t>J: DOA: 36 months</w:t>
      </w:r>
    </w:p>
    <w:p w14:paraId="16878087" w14:textId="77777777" w:rsidR="00252501" w:rsidRPr="00DE1FF5" w:rsidRDefault="00252501" w:rsidP="00A25174">
      <w:pPr>
        <w:pStyle w:val="Heading2"/>
      </w:pPr>
      <w:r w:rsidRPr="00DE1FF5">
        <w:t>References</w:t>
      </w:r>
    </w:p>
    <w:p w14:paraId="675A6839" w14:textId="77777777" w:rsidR="00252501" w:rsidRPr="00C64195" w:rsidRDefault="00252501" w:rsidP="00C64195">
      <w:pPr>
        <w:pStyle w:val="ReferenceOrdered"/>
      </w:pPr>
      <w:bookmarkStart w:id="7" w:name="OLE_LINK3"/>
      <w:bookmarkStart w:id="8" w:name="OLE_LINK6"/>
      <w:bookmarkStart w:id="9" w:name="OLE_LINK11"/>
      <w:bookmarkStart w:id="10" w:name="OLE_LINK17"/>
      <w:r w:rsidRPr="00C64195">
        <w:t>Almotriptan [package insert]. Bridgewater, NJ: Ajanta Pharma USA Inc. March 2023.</w:t>
      </w:r>
    </w:p>
    <w:p w14:paraId="125D40DB" w14:textId="77777777" w:rsidR="00252501" w:rsidRPr="00C64195" w:rsidRDefault="00252501" w:rsidP="00C64195">
      <w:pPr>
        <w:pStyle w:val="ReferenceOrdered"/>
      </w:pPr>
      <w:r w:rsidRPr="00C64195">
        <w:t>Frova [package insert]. Malvern, PA: Endo Pharmaceuticals Inc.; August 2018.</w:t>
      </w:r>
    </w:p>
    <w:p w14:paraId="1E8DC57C" w14:textId="77777777" w:rsidR="00252501" w:rsidRPr="00C64195" w:rsidRDefault="00252501" w:rsidP="00C64195">
      <w:pPr>
        <w:pStyle w:val="ReferenceOrdered"/>
      </w:pPr>
      <w:r w:rsidRPr="00C64195">
        <w:t>Imitrex Injection [package insert]. Research Triangle Park, NC: GlaxoSmithKline; February 2023.</w:t>
      </w:r>
    </w:p>
    <w:p w14:paraId="3FDDFB2A" w14:textId="77777777" w:rsidR="00252501" w:rsidRPr="00C64195" w:rsidRDefault="00252501" w:rsidP="00C64195">
      <w:pPr>
        <w:pStyle w:val="ReferenceOrdered"/>
      </w:pPr>
      <w:r w:rsidRPr="00C64195">
        <w:t>Imitrex Nasal Spray [package insert]. Research Triangle Park, NC: GlaxoSmithKline; March 2024.</w:t>
      </w:r>
    </w:p>
    <w:p w14:paraId="41F96149" w14:textId="77777777" w:rsidR="00252501" w:rsidRPr="00C64195" w:rsidRDefault="00252501" w:rsidP="00C64195">
      <w:pPr>
        <w:pStyle w:val="ReferenceOrdered"/>
      </w:pPr>
      <w:r w:rsidRPr="00C64195">
        <w:t xml:space="preserve">Imitrex Tablets [package insert]. Research Triangle Park, NC: GlaxoSmithKline; February </w:t>
      </w:r>
      <w:bookmarkStart w:id="11" w:name="_Hlk164172416"/>
      <w:r w:rsidRPr="00C64195">
        <w:t>2024</w:t>
      </w:r>
      <w:bookmarkEnd w:id="11"/>
      <w:r w:rsidRPr="00C64195">
        <w:t>.</w:t>
      </w:r>
    </w:p>
    <w:p w14:paraId="1715FDFF" w14:textId="77777777" w:rsidR="00252501" w:rsidRPr="00C64195" w:rsidRDefault="00252501" w:rsidP="00C64195">
      <w:pPr>
        <w:pStyle w:val="ReferenceOrdered"/>
      </w:pPr>
      <w:r w:rsidRPr="00C64195">
        <w:t>Maxalt and Maxalt-MLT [package insert]. Jersey City, NJ: Organon LLC; June 2021.</w:t>
      </w:r>
    </w:p>
    <w:p w14:paraId="41BDD642" w14:textId="77777777" w:rsidR="00252501" w:rsidRPr="00C64195" w:rsidRDefault="00252501" w:rsidP="00C64195">
      <w:pPr>
        <w:pStyle w:val="ReferenceOrdered"/>
      </w:pPr>
      <w:r w:rsidRPr="00C64195">
        <w:t>Naratriptan [package insert]. East Brunswick, NJ: Avet Pharmaceuticals Inc.; August 2023.</w:t>
      </w:r>
    </w:p>
    <w:p w14:paraId="2AD18BC7" w14:textId="77777777" w:rsidR="00252501" w:rsidRPr="00C64195" w:rsidRDefault="00252501" w:rsidP="00C64195">
      <w:pPr>
        <w:pStyle w:val="ReferenceOrdered"/>
      </w:pPr>
      <w:r w:rsidRPr="00C64195">
        <w:lastRenderedPageBreak/>
        <w:t xml:space="preserve">Onzetra Xsail [package insert]. Morristown, NJ: </w:t>
      </w:r>
      <w:proofErr w:type="spellStart"/>
      <w:r w:rsidRPr="00C64195">
        <w:t>Currax</w:t>
      </w:r>
      <w:proofErr w:type="spellEnd"/>
      <w:r w:rsidRPr="00C64195">
        <w:t xml:space="preserve"> Pharmaceuticals LLC; December 2019.</w:t>
      </w:r>
    </w:p>
    <w:p w14:paraId="43EC170D" w14:textId="77777777" w:rsidR="00252501" w:rsidRPr="00C64195" w:rsidRDefault="00252501" w:rsidP="00C64195">
      <w:pPr>
        <w:pStyle w:val="ReferenceOrdered"/>
      </w:pPr>
      <w:r w:rsidRPr="00C64195">
        <w:t>Relpax [package insert]. New York, NY: Pfizer, Inc.; March 2020.</w:t>
      </w:r>
    </w:p>
    <w:p w14:paraId="533D2BAF" w14:textId="77777777" w:rsidR="00252501" w:rsidRDefault="00252501" w:rsidP="00C64195">
      <w:pPr>
        <w:pStyle w:val="ReferenceOrdered"/>
      </w:pPr>
      <w:r w:rsidRPr="00C64195">
        <w:t>RizaFilm [package insert]. Saint-Laurent, Quebec: IntelGenx Corp.; December 2023.</w:t>
      </w:r>
    </w:p>
    <w:p w14:paraId="04697932" w14:textId="68FECA10" w:rsidR="00323930" w:rsidRPr="00C64195" w:rsidRDefault="00323930" w:rsidP="0090251E">
      <w:pPr>
        <w:pStyle w:val="ReferenceOrdered"/>
      </w:pPr>
      <w:proofErr w:type="spellStart"/>
      <w:r>
        <w:t>Symbravo</w:t>
      </w:r>
      <w:proofErr w:type="spellEnd"/>
      <w:r w:rsidR="0090251E">
        <w:t xml:space="preserve"> [package insert]. New York, NY: Axsome Therapeutics, Inc.; January 2025.</w:t>
      </w:r>
    </w:p>
    <w:p w14:paraId="6CC1A9DE" w14:textId="77777777" w:rsidR="00252501" w:rsidRPr="00C64195" w:rsidRDefault="00252501" w:rsidP="00C64195">
      <w:pPr>
        <w:pStyle w:val="ReferenceOrdered"/>
      </w:pPr>
      <w:r w:rsidRPr="00C64195">
        <w:t>Tosymra [package insert]. Maple Grove, MN: Upsher-Smith Laboratories, LLC; February 2021.</w:t>
      </w:r>
    </w:p>
    <w:p w14:paraId="5C9EACEC" w14:textId="77777777" w:rsidR="00252501" w:rsidRPr="00C64195" w:rsidRDefault="00252501" w:rsidP="00C64195">
      <w:pPr>
        <w:pStyle w:val="ReferenceOrdered"/>
      </w:pPr>
      <w:r w:rsidRPr="00C64195">
        <w:t xml:space="preserve">Treximet [package insert]. Morristown, NJ: </w:t>
      </w:r>
      <w:proofErr w:type="spellStart"/>
      <w:r w:rsidRPr="00C64195">
        <w:t>Currax</w:t>
      </w:r>
      <w:proofErr w:type="spellEnd"/>
      <w:r w:rsidRPr="00C64195">
        <w:t xml:space="preserve"> Therapeutics, LLC; February 2024.</w:t>
      </w:r>
    </w:p>
    <w:p w14:paraId="4E5CBC90" w14:textId="77777777" w:rsidR="00252501" w:rsidRPr="00C64195" w:rsidRDefault="00252501" w:rsidP="00C64195">
      <w:pPr>
        <w:pStyle w:val="ReferenceOrdered"/>
      </w:pPr>
      <w:r w:rsidRPr="00C64195">
        <w:t>Zembrace SymTouch [package insert]. Maple Grove, MN: Upsher-Smith Laboratories LLC; February 2021.</w:t>
      </w:r>
    </w:p>
    <w:p w14:paraId="56BAD08E" w14:textId="77777777" w:rsidR="00252501" w:rsidRPr="00C64195" w:rsidRDefault="00252501" w:rsidP="00C64195">
      <w:pPr>
        <w:pStyle w:val="ReferenceOrdered"/>
      </w:pPr>
      <w:r w:rsidRPr="00C64195">
        <w:t>Zolmitriptan ODT [package insert]. Pennington, NJ: Zydus Pharmaceuticals (USA) Inc.; November 2023.</w:t>
      </w:r>
    </w:p>
    <w:p w14:paraId="57DFB52C" w14:textId="77777777" w:rsidR="00252501" w:rsidRPr="00C64195" w:rsidRDefault="00252501" w:rsidP="00C64195">
      <w:pPr>
        <w:pStyle w:val="ReferenceOrdered"/>
      </w:pPr>
      <w:r w:rsidRPr="00C64195">
        <w:t>Zomig Nasal Spray [package insert]. Bridgewater, NJ: Amneal Pharmaceuticals LLC; May 2019.</w:t>
      </w:r>
    </w:p>
    <w:p w14:paraId="3C362DCE" w14:textId="77777777" w:rsidR="00252501" w:rsidRPr="00C64195" w:rsidRDefault="00252501" w:rsidP="00C64195">
      <w:pPr>
        <w:pStyle w:val="ReferenceOrdered"/>
      </w:pPr>
      <w:r w:rsidRPr="00C64195">
        <w:t>Zomig [package insert]. Bridgewater, NJ: Amneal Pharmaceuticals LLC; March 2023.</w:t>
      </w:r>
    </w:p>
    <w:bookmarkEnd w:id="7"/>
    <w:bookmarkEnd w:id="8"/>
    <w:p w14:paraId="058802FE" w14:textId="77777777" w:rsidR="00252501" w:rsidRPr="00C64195" w:rsidRDefault="00252501" w:rsidP="00C64195">
      <w:pPr>
        <w:pStyle w:val="ReferenceOrdered"/>
      </w:pPr>
      <w:r w:rsidRPr="00C64195">
        <w:t>Lexicomp Online, AHFS DI (Adult and Pediatric) Online. Waltham, MA: UpToDate, Inc.; 2024. https://online.lexi.com. Accessed April 15, 2024.</w:t>
      </w:r>
    </w:p>
    <w:p w14:paraId="4DE784DE" w14:textId="77777777" w:rsidR="00252501" w:rsidRPr="00C64195" w:rsidRDefault="00252501" w:rsidP="00C64195">
      <w:pPr>
        <w:pStyle w:val="ReferenceOrdered"/>
      </w:pPr>
      <w:r w:rsidRPr="00C64195">
        <w:t>Micromedex® (electronic version). Merative, Ann Arbor, Michigan, USA. Available at: https://www.micromedexsolutions.com/ (cited: 04/15/2024).</w:t>
      </w:r>
      <w:bookmarkEnd w:id="9"/>
    </w:p>
    <w:p w14:paraId="45E11423" w14:textId="77777777" w:rsidR="00252501" w:rsidRPr="00C64195" w:rsidRDefault="00252501" w:rsidP="00C64195">
      <w:pPr>
        <w:pStyle w:val="ReferenceOrdered"/>
      </w:pPr>
      <w:r w:rsidRPr="00C64195">
        <w:t>Silberstein SD, Holland S, Freitag F, et al. Evidence-based guideline update: pharmacologic treatment for episodic migraine prevention in adults: Report of the Quality Standards Subcommittee of the American Academy of Neurology and the American Headache Society. Neurology 2012;78;1337-1346.</w:t>
      </w:r>
    </w:p>
    <w:p w14:paraId="66CE543C" w14:textId="77777777" w:rsidR="00252501" w:rsidRPr="00C64195" w:rsidRDefault="00252501" w:rsidP="00C64195">
      <w:pPr>
        <w:pStyle w:val="ReferenceOrdered"/>
      </w:pPr>
      <w:bookmarkStart w:id="12" w:name="OLE_LINK5"/>
      <w:r w:rsidRPr="00C64195">
        <w:t>American Headache Society. The American Headache Society Consensus Statement: Update on integrating new migraine treatments into clinical practice. Headache 2021;61:1021-1039.</w:t>
      </w:r>
    </w:p>
    <w:p w14:paraId="1482739E" w14:textId="77777777" w:rsidR="00252501" w:rsidRPr="00C64195" w:rsidRDefault="00252501" w:rsidP="00C64195">
      <w:pPr>
        <w:pStyle w:val="ReferenceOrdered"/>
      </w:pPr>
      <w:r w:rsidRPr="00C64195">
        <w:t xml:space="preserve">Charles A, </w:t>
      </w:r>
      <w:proofErr w:type="spellStart"/>
      <w:r w:rsidRPr="00C64195">
        <w:t>Digre</w:t>
      </w:r>
      <w:proofErr w:type="spellEnd"/>
      <w:r w:rsidRPr="00C64195">
        <w:t xml:space="preserve"> K, </w:t>
      </w:r>
      <w:proofErr w:type="spellStart"/>
      <w:r w:rsidRPr="00C64195">
        <w:t>Goadsby</w:t>
      </w:r>
      <w:proofErr w:type="spellEnd"/>
      <w:r w:rsidRPr="00C64195">
        <w:t xml:space="preserve"> P, et al. Calcitonin gene-related peptide-targeting therapies are a first-line option for the prevention of migraine: An American Headache Society position statement update. </w:t>
      </w:r>
      <w:r w:rsidRPr="00E45174">
        <w:rPr>
          <w:i/>
          <w:iCs/>
        </w:rPr>
        <w:t>Headache.</w:t>
      </w:r>
      <w:r w:rsidRPr="00C64195">
        <w:t xml:space="preserve"> 2024;00:1-9.</w:t>
      </w:r>
    </w:p>
    <w:bookmarkEnd w:id="12"/>
    <w:p w14:paraId="6B9A2480" w14:textId="77777777" w:rsidR="00252501" w:rsidRPr="00C64195" w:rsidRDefault="00252501" w:rsidP="00C64195">
      <w:pPr>
        <w:pStyle w:val="ReferenceOrdered"/>
      </w:pPr>
      <w:r w:rsidRPr="00D7225A">
        <w:rPr>
          <w:lang w:val="de-AT"/>
        </w:rPr>
        <w:t xml:space="preserve">Oskoui M, Pringsheim T, Billinghurst L, et al. </w:t>
      </w:r>
      <w:r w:rsidRPr="00C64195">
        <w:t xml:space="preserve">Practice guideline update summary: Pharmacologic treatment for pediatric migraine prevention: Report of the Guideline Development, Dissemination, and Implementation Subcommittee of the American Academy of </w:t>
      </w:r>
      <w:r w:rsidRPr="00E45174">
        <w:rPr>
          <w:i/>
          <w:iCs/>
        </w:rPr>
        <w:t>Neurology</w:t>
      </w:r>
      <w:r w:rsidRPr="00C64195">
        <w:t xml:space="preserve"> and the American Headache Society. Neurology 2019;93:500-509.</w:t>
      </w:r>
    </w:p>
    <w:p w14:paraId="137733DF" w14:textId="77777777" w:rsidR="00252501" w:rsidRPr="00C64195" w:rsidRDefault="00252501" w:rsidP="00C64195">
      <w:pPr>
        <w:pStyle w:val="ReferenceOrdered"/>
      </w:pPr>
      <w:proofErr w:type="spellStart"/>
      <w:r w:rsidRPr="006F7392">
        <w:rPr>
          <w:lang w:val="fr-BE"/>
        </w:rPr>
        <w:t>Oskoui</w:t>
      </w:r>
      <w:proofErr w:type="spellEnd"/>
      <w:r w:rsidRPr="006F7392">
        <w:rPr>
          <w:lang w:val="fr-BE"/>
        </w:rPr>
        <w:t xml:space="preserve"> M, </w:t>
      </w:r>
      <w:proofErr w:type="spellStart"/>
      <w:r w:rsidRPr="006F7392">
        <w:rPr>
          <w:lang w:val="fr-BE"/>
        </w:rPr>
        <w:t>Pringsheim</w:t>
      </w:r>
      <w:proofErr w:type="spellEnd"/>
      <w:r w:rsidRPr="006F7392">
        <w:rPr>
          <w:lang w:val="fr-BE"/>
        </w:rPr>
        <w:t xml:space="preserve"> T, </w:t>
      </w:r>
      <w:proofErr w:type="spellStart"/>
      <w:r w:rsidRPr="006F7392">
        <w:rPr>
          <w:lang w:val="fr-BE"/>
        </w:rPr>
        <w:t>Holler-Managan</w:t>
      </w:r>
      <w:proofErr w:type="spellEnd"/>
      <w:r w:rsidRPr="006F7392">
        <w:rPr>
          <w:lang w:val="fr-BE"/>
        </w:rPr>
        <w:t xml:space="preserve"> Y, et al. </w:t>
      </w:r>
      <w:r w:rsidRPr="00C64195">
        <w:t>Practice guideline update summary: Acute treatment of migraine headache in children and adolescents: Report of the Guideline Development, Dissemination, and Implementation Subcommittee of the American Academy of Neurology and the American Headache Society</w:t>
      </w:r>
      <w:r w:rsidRPr="00E45174">
        <w:rPr>
          <w:i/>
          <w:iCs/>
        </w:rPr>
        <w:t>. Neurology</w:t>
      </w:r>
      <w:r w:rsidRPr="00C64195">
        <w:t xml:space="preserve"> 2019;93;487-499.</w:t>
      </w:r>
    </w:p>
    <w:p w14:paraId="5F0D9EBE" w14:textId="77777777" w:rsidR="00252501" w:rsidRPr="00C64195" w:rsidRDefault="00252501" w:rsidP="00C64195">
      <w:pPr>
        <w:pStyle w:val="ReferenceOrdered"/>
      </w:pPr>
      <w:r w:rsidRPr="00C64195">
        <w:t xml:space="preserve">Law S, Derry S, Moore RA. Triptans for acute cluster headache (Review). The Cochrane Collaboration; </w:t>
      </w:r>
      <w:r w:rsidRPr="00E45174">
        <w:rPr>
          <w:i/>
          <w:iCs/>
        </w:rPr>
        <w:t>Cochrane Database</w:t>
      </w:r>
      <w:r w:rsidRPr="00C64195">
        <w:t xml:space="preserve"> Syst Rev 2013;7.</w:t>
      </w:r>
    </w:p>
    <w:p w14:paraId="288FC9B9" w14:textId="77777777" w:rsidR="00252501" w:rsidRPr="00C64195" w:rsidRDefault="00252501" w:rsidP="00C64195">
      <w:pPr>
        <w:pStyle w:val="ReferenceOrdered"/>
      </w:pPr>
      <w:r w:rsidRPr="00C64195">
        <w:t xml:space="preserve">Robbins MS, Starling AJ, </w:t>
      </w:r>
      <w:proofErr w:type="spellStart"/>
      <w:r w:rsidRPr="00C64195">
        <w:t>Pringsheim</w:t>
      </w:r>
      <w:proofErr w:type="spellEnd"/>
      <w:r w:rsidRPr="00C64195">
        <w:t xml:space="preserve"> TM, et al. Treatment of Cluster Headache: The American Headache Society Evidence-Based Guidelines. Headache 2016;56:1093-1106.</w:t>
      </w:r>
    </w:p>
    <w:p w14:paraId="2F3A8ADC" w14:textId="77777777" w:rsidR="00252501" w:rsidRPr="00C64195" w:rsidRDefault="00252501" w:rsidP="00C64195">
      <w:pPr>
        <w:pStyle w:val="ReferenceOrdered"/>
      </w:pPr>
      <w:bookmarkStart w:id="13" w:name="OLE_LINK9"/>
      <w:r w:rsidRPr="00D7225A">
        <w:rPr>
          <w:lang w:val="de-AT"/>
        </w:rPr>
        <w:t xml:space="preserve">Francis GJ, Becker WJ, Pringsheim TM. </w:t>
      </w:r>
      <w:r w:rsidRPr="00C64195">
        <w:t>Acute and preventative pharmacologic treatment of cluster headache</w:t>
      </w:r>
      <w:r w:rsidRPr="00E45174">
        <w:rPr>
          <w:i/>
          <w:iCs/>
        </w:rPr>
        <w:t>. Neurology</w:t>
      </w:r>
      <w:r w:rsidRPr="00C64195">
        <w:t xml:space="preserve"> 2010;75:463-473.</w:t>
      </w:r>
    </w:p>
    <w:bookmarkEnd w:id="13"/>
    <w:p w14:paraId="73EDECCA" w14:textId="77777777" w:rsidR="00252501" w:rsidRPr="00C64195" w:rsidRDefault="00252501" w:rsidP="00C64195">
      <w:pPr>
        <w:pStyle w:val="ReferenceOrdered"/>
      </w:pPr>
      <w:r w:rsidRPr="00981F25">
        <w:rPr>
          <w:lang w:val="sv-SE"/>
        </w:rPr>
        <w:t xml:space="preserve">Van Vliet JA, Bahra A, Martin V, et al. </w:t>
      </w:r>
      <w:r w:rsidRPr="00C64195">
        <w:t xml:space="preserve">Intranasal sumatriptan in cluster headache, Randomized placebo-controlled double-blind study. </w:t>
      </w:r>
      <w:r w:rsidRPr="00E45174">
        <w:rPr>
          <w:i/>
          <w:iCs/>
        </w:rPr>
        <w:t>Neurology</w:t>
      </w:r>
      <w:r w:rsidRPr="00C64195">
        <w:t xml:space="preserve"> 2003;60:630-633.</w:t>
      </w:r>
    </w:p>
    <w:p w14:paraId="09A1FD8B" w14:textId="77777777" w:rsidR="00252501" w:rsidRPr="00C64195" w:rsidRDefault="00252501" w:rsidP="00C64195">
      <w:pPr>
        <w:pStyle w:val="ReferenceOrdered"/>
      </w:pPr>
      <w:r w:rsidRPr="00D7225A">
        <w:rPr>
          <w:lang w:val="it-IT"/>
        </w:rPr>
        <w:t xml:space="preserve">Cittadini E, May A, Straube A, et al. </w:t>
      </w:r>
      <w:r w:rsidRPr="00C64195">
        <w:t xml:space="preserve">Effectiveness of Intranasal Zolmitriptan in Acute Cluster Headache, A Randomized, Placebo-Controlled, Double-blind Crossover Study. </w:t>
      </w:r>
      <w:r w:rsidRPr="00E45174">
        <w:rPr>
          <w:i/>
          <w:iCs/>
        </w:rPr>
        <w:t>Arch Neurol</w:t>
      </w:r>
      <w:r w:rsidRPr="00C64195">
        <w:t xml:space="preserve"> 2006;63:E1-E6. </w:t>
      </w:r>
    </w:p>
    <w:p w14:paraId="144D4FBC" w14:textId="777A4539" w:rsidR="005F6F05" w:rsidRDefault="00252501" w:rsidP="001435F6">
      <w:pPr>
        <w:pStyle w:val="ReferenceOrdered"/>
      </w:pPr>
      <w:r w:rsidRPr="00D7225A">
        <w:rPr>
          <w:lang w:val="de-AT"/>
        </w:rPr>
        <w:lastRenderedPageBreak/>
        <w:t xml:space="preserve">Rapoport AM, Mathew NT, Silberstein SD, et al. </w:t>
      </w:r>
      <w:r w:rsidRPr="00C64195">
        <w:t xml:space="preserve">Zolmitriptan nasal spray in the acute treatment of cluster headache, A double-blind study. </w:t>
      </w:r>
      <w:r w:rsidRPr="00E45174">
        <w:rPr>
          <w:i/>
          <w:iCs/>
        </w:rPr>
        <w:t xml:space="preserve">Neurology </w:t>
      </w:r>
      <w:r w:rsidRPr="00C64195">
        <w:t>2007;69:821-826.</w:t>
      </w:r>
      <w:bookmarkEnd w:id="10"/>
    </w:p>
    <w:sectPr w:rsidR="005F6F05" w:rsidSect="00AA1E6A">
      <w:headerReference w:type="first" r:id="rId15"/>
      <w:footerReference w:type="first" r:id="rId16"/>
      <w:type w:val="continuous"/>
      <w:pgSz w:w="12240" w:h="15840" w:code="1"/>
      <w:pgMar w:top="900" w:right="720" w:bottom="990" w:left="720" w:header="720" w:footer="807"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4A65E" w14:textId="77777777" w:rsidR="00A67E36" w:rsidRDefault="00A67E36">
      <w:r>
        <w:separator/>
      </w:r>
    </w:p>
  </w:endnote>
  <w:endnote w:type="continuationSeparator" w:id="0">
    <w:p w14:paraId="3061AC8C" w14:textId="77777777" w:rsidR="00A67E36" w:rsidRDefault="00A67E36">
      <w:r>
        <w:continuationSeparator/>
      </w:r>
    </w:p>
  </w:endnote>
  <w:endnote w:type="continuationNotice" w:id="1">
    <w:p w14:paraId="63E42AC1" w14:textId="77777777" w:rsidR="00A67E36" w:rsidRDefault="00A67E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55CBF" w14:textId="340F705F" w:rsidR="00C36B72" w:rsidRPr="00EC47B6" w:rsidRDefault="00C57D8C" w:rsidP="00C36B72">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435F6" w:rsidRPr="001435F6">
      <w:rPr>
        <w:rFonts w:cs="Arial"/>
        <w:noProof/>
        <w:sz w:val="16"/>
        <w:szCs w:val="16"/>
      </w:rPr>
      <w:t>5-HT1</w:t>
    </w:r>
    <w:r w:rsidR="001435F6">
      <w:rPr>
        <w:rFonts w:cs="Arial"/>
        <w:noProof/>
        <w:snapToGrid w:val="0"/>
        <w:color w:val="000000"/>
        <w:sz w:val="16"/>
        <w:szCs w:val="16"/>
      </w:rPr>
      <w:t xml:space="preserve"> Agonist Post</w:t>
    </w:r>
    <w:r w:rsidR="001435F6" w:rsidRPr="001435F6">
      <w:rPr>
        <w:rFonts w:cs="Arial"/>
        <w:noProof/>
        <w:sz w:val="16"/>
        <w:szCs w:val="16"/>
      </w:rPr>
      <w:t xml:space="preserve"> Limit</w:t>
    </w:r>
    <w:r w:rsidR="001435F6">
      <w:rPr>
        <w:rFonts w:cs="Arial"/>
        <w:noProof/>
        <w:snapToGrid w:val="0"/>
        <w:color w:val="000000"/>
        <w:sz w:val="16"/>
        <w:szCs w:val="16"/>
      </w:rPr>
      <w:t xml:space="preserve"> PA 1-J, 903-J P06-2024 v2.docx</w:t>
    </w:r>
    <w:r w:rsidRPr="00EC47B6">
      <w:rPr>
        <w:rFonts w:cs="Arial"/>
        <w:noProof/>
        <w:sz w:val="16"/>
        <w:szCs w:val="16"/>
      </w:rPr>
      <w:fldChar w:fldCharType="end"/>
    </w:r>
    <w:r w:rsidR="00C36B72" w:rsidRPr="00EC47B6">
      <w:rPr>
        <w:rFonts w:cs="Arial"/>
        <w:snapToGrid w:val="0"/>
        <w:color w:val="000000"/>
        <w:sz w:val="16"/>
      </w:rPr>
      <w:tab/>
      <w:t>© 202</w:t>
    </w:r>
    <w:r>
      <w:rPr>
        <w:rFonts w:cs="Arial"/>
        <w:snapToGrid w:val="0"/>
        <w:color w:val="000000"/>
        <w:sz w:val="16"/>
      </w:rPr>
      <w:t>5</w:t>
    </w:r>
    <w:r w:rsidR="00C36B72" w:rsidRPr="00EC47B6">
      <w:rPr>
        <w:rFonts w:cs="Arial"/>
        <w:snapToGrid w:val="0"/>
        <w:color w:val="000000"/>
        <w:sz w:val="16"/>
      </w:rPr>
      <w:t xml:space="preserve"> CVS Caremark. All rights reserved.</w:t>
    </w:r>
  </w:p>
  <w:p w14:paraId="5503E094" w14:textId="11F1E641" w:rsidR="00C36B72" w:rsidRPr="00EC47B6" w:rsidRDefault="00C36B72" w:rsidP="00C36B72">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w:t>
    </w:r>
    <w:r w:rsidRPr="00B82F4A">
      <w:rPr>
        <w:rStyle w:val="MarginfooterChar"/>
      </w:rPr>
      <w:t>CVS Caremark</w:t>
    </w:r>
    <w:r w:rsidRPr="00EC47B6">
      <w:rPr>
        <w:rFonts w:cs="Arial"/>
        <w:snapToGrid w:val="0"/>
        <w:sz w:val="16"/>
        <w:szCs w:val="16"/>
      </w:rPr>
      <w:t xml:space="preserve">.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957B431" w14:textId="2CADC5BD" w:rsidR="00F75C81" w:rsidRPr="0035692B" w:rsidRDefault="00C36B72" w:rsidP="0035692B">
    <w:pPr>
      <w:autoSpaceDE w:val="0"/>
      <w:autoSpaceDN w:val="0"/>
      <w:adjustRightInd w:val="0"/>
      <w:jc w:val="center"/>
      <w:rPr>
        <w:rFonts w:cs="Arial"/>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8</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8A02C" w14:textId="1890642E" w:rsidR="00F50D98" w:rsidRPr="00EC47B6" w:rsidRDefault="00F50D98" w:rsidP="00F50D98">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1435F6" w:rsidRPr="001435F6">
      <w:rPr>
        <w:rFonts w:cs="Arial"/>
        <w:noProof/>
        <w:sz w:val="16"/>
        <w:szCs w:val="16"/>
      </w:rPr>
      <w:t>5-HT1</w:t>
    </w:r>
    <w:r w:rsidR="001435F6">
      <w:rPr>
        <w:rFonts w:cs="Arial"/>
        <w:noProof/>
        <w:snapToGrid w:val="0"/>
        <w:color w:val="000000"/>
        <w:sz w:val="16"/>
        <w:szCs w:val="16"/>
      </w:rPr>
      <w:t xml:space="preserve"> Agonist Post</w:t>
    </w:r>
    <w:r w:rsidR="001435F6" w:rsidRPr="001435F6">
      <w:rPr>
        <w:rFonts w:cs="Arial"/>
        <w:noProof/>
        <w:sz w:val="16"/>
        <w:szCs w:val="16"/>
      </w:rPr>
      <w:t xml:space="preserve"> Limit</w:t>
    </w:r>
    <w:r w:rsidR="001435F6">
      <w:rPr>
        <w:rFonts w:cs="Arial"/>
        <w:noProof/>
        <w:snapToGrid w:val="0"/>
        <w:color w:val="000000"/>
        <w:sz w:val="16"/>
        <w:szCs w:val="16"/>
      </w:rPr>
      <w:t xml:space="preserve"> PA 1-J, 903-J P06-2024 v2.docx</w:t>
    </w:r>
    <w:r w:rsidRPr="00EC47B6">
      <w:rPr>
        <w:rFonts w:cs="Arial"/>
        <w:noProof/>
        <w:sz w:val="16"/>
        <w:szCs w:val="16"/>
      </w:rPr>
      <w:fldChar w:fldCharType="end"/>
    </w:r>
    <w:r w:rsidRPr="00EC47B6">
      <w:rPr>
        <w:rFonts w:cs="Arial"/>
        <w:snapToGrid w:val="0"/>
        <w:color w:val="000000"/>
        <w:sz w:val="16"/>
      </w:rPr>
      <w:tab/>
      <w:t>© 202</w:t>
    </w:r>
    <w:r w:rsidR="00CC1FCA">
      <w:rPr>
        <w:rFonts w:cs="Arial"/>
        <w:snapToGrid w:val="0"/>
        <w:color w:val="000000"/>
        <w:sz w:val="16"/>
      </w:rPr>
      <w:t>5</w:t>
    </w:r>
    <w:r w:rsidRPr="00EC47B6">
      <w:rPr>
        <w:rFonts w:cs="Arial"/>
        <w:snapToGrid w:val="0"/>
        <w:color w:val="000000"/>
        <w:sz w:val="16"/>
      </w:rPr>
      <w:t xml:space="preserve"> CVS Caremark. All rights reserved.</w:t>
    </w:r>
  </w:p>
  <w:p w14:paraId="6CF58F80" w14:textId="081B0B62" w:rsidR="00F50D98" w:rsidRPr="00EC47B6" w:rsidRDefault="00F50D98" w:rsidP="00F50D98">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238F0156" w14:textId="77777777" w:rsidR="00ED04EC" w:rsidRPr="00F50D98" w:rsidRDefault="00F50D98" w:rsidP="00D0118F">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sidRPr="00EC47B6">
      <w:rPr>
        <w:rFonts w:cs="Arial"/>
        <w:sz w:val="16"/>
        <w:szCs w:val="16"/>
      </w:rPr>
      <w:t>2</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5FBD8" w14:textId="77777777" w:rsidR="00E45174" w:rsidRPr="00E45174" w:rsidRDefault="00E45174" w:rsidP="00E451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55F50" w14:textId="77777777" w:rsidR="00A67E36" w:rsidRDefault="00A67E36">
      <w:r>
        <w:separator/>
      </w:r>
    </w:p>
  </w:footnote>
  <w:footnote w:type="continuationSeparator" w:id="0">
    <w:p w14:paraId="1E01F42F" w14:textId="77777777" w:rsidR="00A67E36" w:rsidRDefault="00A67E36">
      <w:r>
        <w:continuationSeparator/>
      </w:r>
    </w:p>
  </w:footnote>
  <w:footnote w:type="continuationNotice" w:id="1">
    <w:p w14:paraId="6F2B2A7E" w14:textId="77777777" w:rsidR="00A67E36" w:rsidRDefault="00A67E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523BC30" w14:textId="77777777">
      <w:trPr>
        <w:trHeight w:val="144"/>
        <w:jc w:val="right"/>
      </w:trPr>
      <w:tc>
        <w:tcPr>
          <w:tcW w:w="1854" w:type="dxa"/>
          <w:hideMark/>
        </w:tcPr>
        <w:p w14:paraId="5F031AB0" w14:textId="77777777" w:rsidR="00ED04EC" w:rsidRPr="00DE1FF5" w:rsidRDefault="00ED04EC" w:rsidP="00884A3C">
          <w:pPr>
            <w:pStyle w:val="RefTableData"/>
          </w:pPr>
          <w:r w:rsidRPr="00DE1FF5">
            <w:t>Reference number(s)</w:t>
          </w:r>
        </w:p>
      </w:tc>
    </w:tr>
    <w:tr w:rsidR="00ED04EC" w:rsidRPr="00ED04EC" w14:paraId="275DED2D" w14:textId="77777777">
      <w:trPr>
        <w:trHeight w:val="378"/>
        <w:jc w:val="right"/>
      </w:trPr>
      <w:tc>
        <w:tcPr>
          <w:tcW w:w="1854" w:type="dxa"/>
          <w:hideMark/>
        </w:tcPr>
        <w:p w14:paraId="16F746A5" w14:textId="14D79714" w:rsidR="00ED04EC" w:rsidRPr="00884A3C" w:rsidRDefault="0016613B" w:rsidP="00884A3C">
          <w:pPr>
            <w:pStyle w:val="RefTableData"/>
          </w:pPr>
          <w:r>
            <w:rPr>
              <w:rStyle w:val="ui-provider"/>
            </w:rPr>
            <w:t>903-J, 1-J</w:t>
          </w:r>
        </w:p>
      </w:tc>
    </w:tr>
  </w:tbl>
  <w:p w14:paraId="5960AAE4" w14:textId="77777777"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980093" w:rsidRPr="00ED04EC" w14:paraId="60483FA4" w14:textId="77777777" w:rsidTr="004B4AF7">
      <w:trPr>
        <w:trHeight w:val="144"/>
        <w:jc w:val="right"/>
      </w:trPr>
      <w:tc>
        <w:tcPr>
          <w:tcW w:w="1854" w:type="dxa"/>
          <w:hideMark/>
        </w:tcPr>
        <w:p w14:paraId="665EDCC4" w14:textId="77777777" w:rsidR="00980093" w:rsidRPr="00DE1FF5" w:rsidRDefault="00980093" w:rsidP="00980093">
          <w:pPr>
            <w:pStyle w:val="RefTableData"/>
          </w:pPr>
          <w:r w:rsidRPr="00DE1FF5">
            <w:t>Reference number(s)</w:t>
          </w:r>
        </w:p>
      </w:tc>
    </w:tr>
    <w:tr w:rsidR="00980093" w:rsidRPr="00ED04EC" w14:paraId="77AC98B1" w14:textId="77777777" w:rsidTr="004B4AF7">
      <w:trPr>
        <w:trHeight w:val="378"/>
        <w:jc w:val="right"/>
      </w:trPr>
      <w:tc>
        <w:tcPr>
          <w:tcW w:w="1854" w:type="dxa"/>
          <w:hideMark/>
        </w:tcPr>
        <w:p w14:paraId="4EBE5AC2" w14:textId="77777777" w:rsidR="00980093" w:rsidRPr="00884A3C" w:rsidRDefault="00980093" w:rsidP="00980093">
          <w:pPr>
            <w:pStyle w:val="RefTableData"/>
          </w:pPr>
          <w:r w:rsidRPr="00884A3C">
            <w:t>1-J, MMT 903-J</w:t>
          </w:r>
        </w:p>
      </w:tc>
    </w:tr>
  </w:tbl>
  <w:p w14:paraId="336AC4CC" w14:textId="77777777" w:rsidR="00980093" w:rsidRPr="00980093" w:rsidRDefault="00980093">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E402A0"/>
    <w:multiLevelType w:val="hybridMultilevel"/>
    <w:tmpl w:val="DF6A73C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3282622"/>
    <w:multiLevelType w:val="hybridMultilevel"/>
    <w:tmpl w:val="2474F44E"/>
    <w:lvl w:ilvl="0" w:tplc="B11AD8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7722CE"/>
    <w:multiLevelType w:val="hybridMultilevel"/>
    <w:tmpl w:val="E7EA7D48"/>
    <w:lvl w:ilvl="0" w:tplc="081D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D9D4A48"/>
    <w:multiLevelType w:val="hybridMultilevel"/>
    <w:tmpl w:val="1094781A"/>
    <w:lvl w:ilvl="0" w:tplc="04090001">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3C7402"/>
    <w:multiLevelType w:val="hybridMultilevel"/>
    <w:tmpl w:val="79D0932C"/>
    <w:lvl w:ilvl="0" w:tplc="FFFFFFFF">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19"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2344E67"/>
    <w:multiLevelType w:val="hybridMultilevel"/>
    <w:tmpl w:val="158E4AC6"/>
    <w:lvl w:ilvl="0" w:tplc="081D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CF1DD4"/>
    <w:multiLevelType w:val="hybridMultilevel"/>
    <w:tmpl w:val="8048D486"/>
    <w:lvl w:ilvl="0" w:tplc="081D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7116ADA"/>
    <w:multiLevelType w:val="hybridMultilevel"/>
    <w:tmpl w:val="D46833B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decimal"/>
      <w:lvlText w:val="%4."/>
      <w:lvlJc w:val="left"/>
      <w:pPr>
        <w:tabs>
          <w:tab w:val="num" w:pos="3240"/>
        </w:tabs>
        <w:ind w:left="3240" w:hanging="360"/>
      </w:pPr>
    </w:lvl>
    <w:lvl w:ilvl="4" w:tplc="04090003">
      <w:start w:val="1"/>
      <w:numFmt w:val="decimal"/>
      <w:lvlText w:val="%5."/>
      <w:lvlJc w:val="left"/>
      <w:pPr>
        <w:tabs>
          <w:tab w:val="num" w:pos="3960"/>
        </w:tabs>
        <w:ind w:left="3960" w:hanging="360"/>
      </w:pPr>
    </w:lvl>
    <w:lvl w:ilvl="5" w:tplc="04090005">
      <w:start w:val="1"/>
      <w:numFmt w:val="decimal"/>
      <w:lvlText w:val="%6."/>
      <w:lvlJc w:val="left"/>
      <w:pPr>
        <w:tabs>
          <w:tab w:val="num" w:pos="4680"/>
        </w:tabs>
        <w:ind w:left="4680" w:hanging="360"/>
      </w:pPr>
    </w:lvl>
    <w:lvl w:ilvl="6" w:tplc="04090001">
      <w:start w:val="1"/>
      <w:numFmt w:val="decimal"/>
      <w:lvlText w:val="%7."/>
      <w:lvlJc w:val="left"/>
      <w:pPr>
        <w:tabs>
          <w:tab w:val="num" w:pos="5400"/>
        </w:tabs>
        <w:ind w:left="5400" w:hanging="360"/>
      </w:pPr>
    </w:lvl>
    <w:lvl w:ilvl="7" w:tplc="04090003">
      <w:start w:val="1"/>
      <w:numFmt w:val="decimal"/>
      <w:lvlText w:val="%8."/>
      <w:lvlJc w:val="left"/>
      <w:pPr>
        <w:tabs>
          <w:tab w:val="num" w:pos="6120"/>
        </w:tabs>
        <w:ind w:left="6120" w:hanging="360"/>
      </w:pPr>
    </w:lvl>
    <w:lvl w:ilvl="8" w:tplc="04090005">
      <w:start w:val="1"/>
      <w:numFmt w:val="decimal"/>
      <w:lvlText w:val="%9."/>
      <w:lvlJc w:val="left"/>
      <w:pPr>
        <w:tabs>
          <w:tab w:val="num" w:pos="6840"/>
        </w:tabs>
        <w:ind w:left="6840" w:hanging="360"/>
      </w:pPr>
    </w:lvl>
  </w:abstractNum>
  <w:abstractNum w:abstractNumId="23"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8F252A"/>
    <w:multiLevelType w:val="hybridMultilevel"/>
    <w:tmpl w:val="D92E4C4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7D76B71"/>
    <w:multiLevelType w:val="hybridMultilevel"/>
    <w:tmpl w:val="1CC07382"/>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37D92DDC"/>
    <w:multiLevelType w:val="hybridMultilevel"/>
    <w:tmpl w:val="25080A6A"/>
    <w:lvl w:ilvl="0" w:tplc="04090003">
      <w:start w:val="1"/>
      <w:numFmt w:val="bullet"/>
      <w:lvlText w:val="o"/>
      <w:lvlJc w:val="left"/>
      <w:pPr>
        <w:ind w:left="1080" w:hanging="360"/>
      </w:pPr>
      <w:rPr>
        <w:rFonts w:ascii="Courier New" w:hAnsi="Courier New" w:cs="Courier New"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decimal"/>
      <w:lvlText w:val="%4."/>
      <w:lvlJc w:val="left"/>
      <w:pPr>
        <w:tabs>
          <w:tab w:val="num" w:pos="3240"/>
        </w:tabs>
        <w:ind w:left="3240" w:hanging="360"/>
      </w:pPr>
    </w:lvl>
    <w:lvl w:ilvl="4" w:tplc="FFFFFFFF">
      <w:start w:val="1"/>
      <w:numFmt w:val="decimal"/>
      <w:lvlText w:val="%5."/>
      <w:lvlJc w:val="left"/>
      <w:pPr>
        <w:tabs>
          <w:tab w:val="num" w:pos="3960"/>
        </w:tabs>
        <w:ind w:left="3960" w:hanging="360"/>
      </w:pPr>
    </w:lvl>
    <w:lvl w:ilvl="5" w:tplc="FFFFFFFF">
      <w:start w:val="1"/>
      <w:numFmt w:val="decimal"/>
      <w:lvlText w:val="%6."/>
      <w:lvlJc w:val="left"/>
      <w:pPr>
        <w:tabs>
          <w:tab w:val="num" w:pos="4680"/>
        </w:tabs>
        <w:ind w:left="4680" w:hanging="360"/>
      </w:pPr>
    </w:lvl>
    <w:lvl w:ilvl="6" w:tplc="FFFFFFFF">
      <w:start w:val="1"/>
      <w:numFmt w:val="decimal"/>
      <w:lvlText w:val="%7."/>
      <w:lvlJc w:val="left"/>
      <w:pPr>
        <w:tabs>
          <w:tab w:val="num" w:pos="5400"/>
        </w:tabs>
        <w:ind w:left="5400" w:hanging="360"/>
      </w:pPr>
    </w:lvl>
    <w:lvl w:ilvl="7" w:tplc="FFFFFFFF">
      <w:start w:val="1"/>
      <w:numFmt w:val="decimal"/>
      <w:lvlText w:val="%8."/>
      <w:lvlJc w:val="left"/>
      <w:pPr>
        <w:tabs>
          <w:tab w:val="num" w:pos="6120"/>
        </w:tabs>
        <w:ind w:left="6120" w:hanging="360"/>
      </w:pPr>
    </w:lvl>
    <w:lvl w:ilvl="8" w:tplc="FFFFFFFF">
      <w:start w:val="1"/>
      <w:numFmt w:val="decimal"/>
      <w:lvlText w:val="%9."/>
      <w:lvlJc w:val="left"/>
      <w:pPr>
        <w:tabs>
          <w:tab w:val="num" w:pos="6840"/>
        </w:tabs>
        <w:ind w:left="6840" w:hanging="360"/>
      </w:pPr>
    </w:lvl>
  </w:abstractNum>
  <w:abstractNum w:abstractNumId="28" w15:restartNumberingAfterBreak="0">
    <w:nsid w:val="3D065E8A"/>
    <w:multiLevelType w:val="hybridMultilevel"/>
    <w:tmpl w:val="3B46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DE11CCA"/>
    <w:multiLevelType w:val="hybridMultilevel"/>
    <w:tmpl w:val="EB4433D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A6124DD"/>
    <w:multiLevelType w:val="hybridMultilevel"/>
    <w:tmpl w:val="B562E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DD70279"/>
    <w:multiLevelType w:val="hybridMultilevel"/>
    <w:tmpl w:val="028639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32" w15:restartNumberingAfterBreak="0">
    <w:nsid w:val="4F6A4BC2"/>
    <w:multiLevelType w:val="hybridMultilevel"/>
    <w:tmpl w:val="07BE3C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1FB51D2"/>
    <w:multiLevelType w:val="hybridMultilevel"/>
    <w:tmpl w:val="2FEE060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538842E3"/>
    <w:multiLevelType w:val="hybridMultilevel"/>
    <w:tmpl w:val="3B8854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5F30029"/>
    <w:multiLevelType w:val="hybridMultilevel"/>
    <w:tmpl w:val="D1C8A1C4"/>
    <w:lvl w:ilvl="0" w:tplc="04090003">
      <w:start w:val="1"/>
      <w:numFmt w:val="bullet"/>
      <w:lvlText w:val="o"/>
      <w:lvlJc w:val="left"/>
      <w:pPr>
        <w:ind w:left="1080" w:hanging="360"/>
      </w:pPr>
      <w:rPr>
        <w:rFonts w:ascii="Courier New" w:hAnsi="Courier New" w:cs="Courier New"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decimal"/>
      <w:lvlText w:val="%4."/>
      <w:lvlJc w:val="left"/>
      <w:pPr>
        <w:tabs>
          <w:tab w:val="num" w:pos="3240"/>
        </w:tabs>
        <w:ind w:left="3240" w:hanging="360"/>
      </w:pPr>
    </w:lvl>
    <w:lvl w:ilvl="4" w:tplc="FFFFFFFF">
      <w:start w:val="1"/>
      <w:numFmt w:val="decimal"/>
      <w:lvlText w:val="%5."/>
      <w:lvlJc w:val="left"/>
      <w:pPr>
        <w:tabs>
          <w:tab w:val="num" w:pos="3960"/>
        </w:tabs>
        <w:ind w:left="3960" w:hanging="360"/>
      </w:pPr>
    </w:lvl>
    <w:lvl w:ilvl="5" w:tplc="FFFFFFFF">
      <w:start w:val="1"/>
      <w:numFmt w:val="decimal"/>
      <w:lvlText w:val="%6."/>
      <w:lvlJc w:val="left"/>
      <w:pPr>
        <w:tabs>
          <w:tab w:val="num" w:pos="4680"/>
        </w:tabs>
        <w:ind w:left="4680" w:hanging="360"/>
      </w:pPr>
    </w:lvl>
    <w:lvl w:ilvl="6" w:tplc="FFFFFFFF">
      <w:start w:val="1"/>
      <w:numFmt w:val="decimal"/>
      <w:lvlText w:val="%7."/>
      <w:lvlJc w:val="left"/>
      <w:pPr>
        <w:tabs>
          <w:tab w:val="num" w:pos="5400"/>
        </w:tabs>
        <w:ind w:left="5400" w:hanging="360"/>
      </w:pPr>
    </w:lvl>
    <w:lvl w:ilvl="7" w:tplc="FFFFFFFF">
      <w:start w:val="1"/>
      <w:numFmt w:val="decimal"/>
      <w:lvlText w:val="%8."/>
      <w:lvlJc w:val="left"/>
      <w:pPr>
        <w:tabs>
          <w:tab w:val="num" w:pos="6120"/>
        </w:tabs>
        <w:ind w:left="6120" w:hanging="360"/>
      </w:pPr>
    </w:lvl>
    <w:lvl w:ilvl="8" w:tplc="FFFFFFFF">
      <w:start w:val="1"/>
      <w:numFmt w:val="decimal"/>
      <w:lvlText w:val="%9."/>
      <w:lvlJc w:val="left"/>
      <w:pPr>
        <w:tabs>
          <w:tab w:val="num" w:pos="6840"/>
        </w:tabs>
        <w:ind w:left="6840" w:hanging="360"/>
      </w:pPr>
    </w:lvl>
  </w:abstractNum>
  <w:abstractNum w:abstractNumId="37"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28671DE"/>
    <w:multiLevelType w:val="hybridMultilevel"/>
    <w:tmpl w:val="421E0B9C"/>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652105"/>
    <w:multiLevelType w:val="hybridMultilevel"/>
    <w:tmpl w:val="EE2E001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1F47671"/>
    <w:multiLevelType w:val="hybridMultilevel"/>
    <w:tmpl w:val="7EE806A2"/>
    <w:lvl w:ilvl="0" w:tplc="04090001">
      <w:numFmt w:val="decimal"/>
      <w:lvlText w:val=""/>
      <w:lvlJc w:val="left"/>
      <w:pPr>
        <w:ind w:left="720" w:hanging="360"/>
      </w:pPr>
      <w:rPr>
        <w:rFonts w:ascii="Symbol" w:hAnsi="Symbol" w:hint="default"/>
      </w:rPr>
    </w:lvl>
    <w:lvl w:ilvl="1" w:tplc="04090003">
      <w:numFmt w:val="decimal"/>
      <w:lvlText w:val="o"/>
      <w:lvlJc w:val="left"/>
      <w:pPr>
        <w:ind w:left="1440" w:hanging="360"/>
      </w:pPr>
      <w:rPr>
        <w:rFonts w:ascii="Courier New" w:hAnsi="Courier New" w:cs="Courier New" w:hint="default"/>
      </w:rPr>
    </w:lvl>
    <w:lvl w:ilvl="2" w:tplc="04090005">
      <w:numFmt w:val="decimal"/>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5" w15:restartNumberingAfterBreak="0">
    <w:nsid w:val="7455291B"/>
    <w:multiLevelType w:val="hybridMultilevel"/>
    <w:tmpl w:val="F932A32E"/>
    <w:lvl w:ilvl="0" w:tplc="FFFFFFFF">
      <w:start w:val="1"/>
      <w:numFmt w:val="bullet"/>
      <w:lvlText w:val=""/>
      <w:lvlJc w:val="left"/>
      <w:pPr>
        <w:ind w:left="720" w:hanging="360"/>
      </w:pPr>
      <w:rPr>
        <w:rFonts w:ascii="Symbol" w:hAnsi="Symbol" w:hint="default"/>
      </w:rPr>
    </w:lvl>
    <w:lvl w:ilvl="1" w:tplc="081D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2"/>
  </w:num>
  <w:num w:numId="2" w16cid:durableId="606935877">
    <w:abstractNumId w:val="41"/>
  </w:num>
  <w:num w:numId="3" w16cid:durableId="611589570">
    <w:abstractNumId w:val="33"/>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3"/>
  </w:num>
  <w:num w:numId="15" w16cid:durableId="616722934">
    <w:abstractNumId w:val="11"/>
  </w:num>
  <w:num w:numId="16" w16cid:durableId="898320195">
    <w:abstractNumId w:val="24"/>
  </w:num>
  <w:num w:numId="17" w16cid:durableId="2128498676">
    <w:abstractNumId w:val="46"/>
  </w:num>
  <w:num w:numId="18" w16cid:durableId="299724409">
    <w:abstractNumId w:val="37"/>
  </w:num>
  <w:num w:numId="19" w16cid:durableId="214585573">
    <w:abstractNumId w:val="16"/>
  </w:num>
  <w:num w:numId="20" w16cid:durableId="1289816170">
    <w:abstractNumId w:val="19"/>
  </w:num>
  <w:num w:numId="21" w16cid:durableId="1066490929">
    <w:abstractNumId w:val="47"/>
  </w:num>
  <w:num w:numId="22" w16cid:durableId="1472481103">
    <w:abstractNumId w:val="39"/>
  </w:num>
  <w:num w:numId="23" w16cid:durableId="1997420403">
    <w:abstractNumId w:val="42"/>
  </w:num>
  <w:num w:numId="24" w16cid:durableId="33312838">
    <w:abstractNumId w:val="38"/>
  </w:num>
  <w:num w:numId="25" w16cid:durableId="507404939">
    <w:abstractNumId w:val="23"/>
  </w:num>
  <w:num w:numId="26" w16cid:durableId="1950313333">
    <w:abstractNumId w:val="30"/>
  </w:num>
  <w:num w:numId="27" w16cid:durableId="1866016584">
    <w:abstractNumId w:val="28"/>
  </w:num>
  <w:num w:numId="28" w16cid:durableId="314073202">
    <w:abstractNumId w:val="35"/>
  </w:num>
  <w:num w:numId="29" w16cid:durableId="1003700650">
    <w:abstractNumId w:val="31"/>
  </w:num>
  <w:num w:numId="30" w16cid:durableId="636187059">
    <w:abstractNumId w:val="44"/>
  </w:num>
  <w:num w:numId="31" w16cid:durableId="1302230201">
    <w:abstractNumId w:val="22"/>
  </w:num>
  <w:num w:numId="32" w16cid:durableId="1597444568">
    <w:abstractNumId w:val="3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29382900">
    <w:abstractNumId w:val="32"/>
  </w:num>
  <w:num w:numId="34" w16cid:durableId="2068529598">
    <w:abstractNumId w:val="40"/>
  </w:num>
  <w:num w:numId="35" w16cid:durableId="1435250824">
    <w:abstractNumId w:val="10"/>
  </w:num>
  <w:num w:numId="36" w16cid:durableId="1385786433">
    <w:abstractNumId w:val="25"/>
  </w:num>
  <w:num w:numId="37" w16cid:durableId="1271814291">
    <w:abstractNumId w:val="18"/>
  </w:num>
  <w:num w:numId="38" w16cid:durableId="340282436">
    <w:abstractNumId w:val="27"/>
  </w:num>
  <w:num w:numId="39" w16cid:durableId="1192303089">
    <w:abstractNumId w:val="36"/>
  </w:num>
  <w:num w:numId="40" w16cid:durableId="861750238">
    <w:abstractNumId w:val="43"/>
  </w:num>
  <w:num w:numId="41" w16cid:durableId="1532382033">
    <w:abstractNumId w:val="17"/>
  </w:num>
  <w:num w:numId="42" w16cid:durableId="2088112572">
    <w:abstractNumId w:val="15"/>
  </w:num>
  <w:num w:numId="43" w16cid:durableId="912394030">
    <w:abstractNumId w:val="34"/>
  </w:num>
  <w:num w:numId="44" w16cid:durableId="82919302">
    <w:abstractNumId w:val="21"/>
  </w:num>
  <w:num w:numId="45" w16cid:durableId="604845439">
    <w:abstractNumId w:val="45"/>
  </w:num>
  <w:num w:numId="46" w16cid:durableId="271936829">
    <w:abstractNumId w:val="26"/>
  </w:num>
  <w:num w:numId="47" w16cid:durableId="1804037221">
    <w:abstractNumId w:val="20"/>
  </w:num>
  <w:num w:numId="48" w16cid:durableId="3438568">
    <w:abstractNumId w:val="14"/>
  </w:num>
  <w:num w:numId="49" w16cid:durableId="411851698">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066A"/>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1A5"/>
    <w:rsid w:val="0002338D"/>
    <w:rsid w:val="00024BB4"/>
    <w:rsid w:val="00024E30"/>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3250"/>
    <w:rsid w:val="0003572F"/>
    <w:rsid w:val="00036079"/>
    <w:rsid w:val="00037636"/>
    <w:rsid w:val="00037A95"/>
    <w:rsid w:val="00041200"/>
    <w:rsid w:val="0004226E"/>
    <w:rsid w:val="000425B0"/>
    <w:rsid w:val="00043056"/>
    <w:rsid w:val="0004480D"/>
    <w:rsid w:val="00046912"/>
    <w:rsid w:val="00046BD3"/>
    <w:rsid w:val="00046C3C"/>
    <w:rsid w:val="0004753B"/>
    <w:rsid w:val="00047680"/>
    <w:rsid w:val="00047C5A"/>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3E8"/>
    <w:rsid w:val="0006765E"/>
    <w:rsid w:val="00067732"/>
    <w:rsid w:val="0006774C"/>
    <w:rsid w:val="00070758"/>
    <w:rsid w:val="00070C48"/>
    <w:rsid w:val="000717F6"/>
    <w:rsid w:val="00071A7F"/>
    <w:rsid w:val="0007244B"/>
    <w:rsid w:val="0007286F"/>
    <w:rsid w:val="000749E4"/>
    <w:rsid w:val="00074BFE"/>
    <w:rsid w:val="000755C3"/>
    <w:rsid w:val="00075C18"/>
    <w:rsid w:val="000760A2"/>
    <w:rsid w:val="000760F2"/>
    <w:rsid w:val="000767AE"/>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47EC"/>
    <w:rsid w:val="00085375"/>
    <w:rsid w:val="00085913"/>
    <w:rsid w:val="00085D37"/>
    <w:rsid w:val="00086953"/>
    <w:rsid w:val="00087DB9"/>
    <w:rsid w:val="00090142"/>
    <w:rsid w:val="00090C1B"/>
    <w:rsid w:val="000913DE"/>
    <w:rsid w:val="00091E1D"/>
    <w:rsid w:val="0009326E"/>
    <w:rsid w:val="00093AB5"/>
    <w:rsid w:val="00094A59"/>
    <w:rsid w:val="00095B9C"/>
    <w:rsid w:val="0009781E"/>
    <w:rsid w:val="000A0CCE"/>
    <w:rsid w:val="000A1653"/>
    <w:rsid w:val="000A1ACD"/>
    <w:rsid w:val="000A2697"/>
    <w:rsid w:val="000A34B0"/>
    <w:rsid w:val="000A3543"/>
    <w:rsid w:val="000A42D7"/>
    <w:rsid w:val="000A5AE5"/>
    <w:rsid w:val="000A6C30"/>
    <w:rsid w:val="000A71EC"/>
    <w:rsid w:val="000A72BA"/>
    <w:rsid w:val="000A7D51"/>
    <w:rsid w:val="000B0F9D"/>
    <w:rsid w:val="000B104D"/>
    <w:rsid w:val="000B14F4"/>
    <w:rsid w:val="000B1961"/>
    <w:rsid w:val="000B20CD"/>
    <w:rsid w:val="000B40A1"/>
    <w:rsid w:val="000B5791"/>
    <w:rsid w:val="000B57DC"/>
    <w:rsid w:val="000B5871"/>
    <w:rsid w:val="000B5E31"/>
    <w:rsid w:val="000B6086"/>
    <w:rsid w:val="000B61D7"/>
    <w:rsid w:val="000B7167"/>
    <w:rsid w:val="000B71C5"/>
    <w:rsid w:val="000B76C4"/>
    <w:rsid w:val="000B7827"/>
    <w:rsid w:val="000B7CFC"/>
    <w:rsid w:val="000C1120"/>
    <w:rsid w:val="000C1550"/>
    <w:rsid w:val="000C17FA"/>
    <w:rsid w:val="000C2343"/>
    <w:rsid w:val="000C28E8"/>
    <w:rsid w:val="000C2F61"/>
    <w:rsid w:val="000C3B5A"/>
    <w:rsid w:val="000C436C"/>
    <w:rsid w:val="000C5A6F"/>
    <w:rsid w:val="000C625F"/>
    <w:rsid w:val="000C6C34"/>
    <w:rsid w:val="000C6FAA"/>
    <w:rsid w:val="000C7000"/>
    <w:rsid w:val="000C78EA"/>
    <w:rsid w:val="000C7B51"/>
    <w:rsid w:val="000C7EA2"/>
    <w:rsid w:val="000D0438"/>
    <w:rsid w:val="000D04AF"/>
    <w:rsid w:val="000D1463"/>
    <w:rsid w:val="000D19C4"/>
    <w:rsid w:val="000D1CEC"/>
    <w:rsid w:val="000D1D17"/>
    <w:rsid w:val="000D2496"/>
    <w:rsid w:val="000D24FD"/>
    <w:rsid w:val="000D31D7"/>
    <w:rsid w:val="000D39D5"/>
    <w:rsid w:val="000D44C7"/>
    <w:rsid w:val="000D454D"/>
    <w:rsid w:val="000D4EA4"/>
    <w:rsid w:val="000D5101"/>
    <w:rsid w:val="000D5978"/>
    <w:rsid w:val="000D5D4B"/>
    <w:rsid w:val="000D7ED8"/>
    <w:rsid w:val="000E0438"/>
    <w:rsid w:val="000E095D"/>
    <w:rsid w:val="000E0C62"/>
    <w:rsid w:val="000E24FA"/>
    <w:rsid w:val="000E2ECC"/>
    <w:rsid w:val="000E37E4"/>
    <w:rsid w:val="000E3A1B"/>
    <w:rsid w:val="000E3CA7"/>
    <w:rsid w:val="000E3DD4"/>
    <w:rsid w:val="000E65C5"/>
    <w:rsid w:val="000E6D53"/>
    <w:rsid w:val="000E7263"/>
    <w:rsid w:val="000E7B01"/>
    <w:rsid w:val="000E7C60"/>
    <w:rsid w:val="000F0AC9"/>
    <w:rsid w:val="000F1039"/>
    <w:rsid w:val="000F1FBC"/>
    <w:rsid w:val="000F2A45"/>
    <w:rsid w:val="000F2CC4"/>
    <w:rsid w:val="000F3023"/>
    <w:rsid w:val="000F41E3"/>
    <w:rsid w:val="000F4745"/>
    <w:rsid w:val="000F5181"/>
    <w:rsid w:val="000F5383"/>
    <w:rsid w:val="000F5A0F"/>
    <w:rsid w:val="000F61E0"/>
    <w:rsid w:val="000F677F"/>
    <w:rsid w:val="000F69A0"/>
    <w:rsid w:val="000F6E71"/>
    <w:rsid w:val="000F75BA"/>
    <w:rsid w:val="00100B91"/>
    <w:rsid w:val="001012A6"/>
    <w:rsid w:val="00101748"/>
    <w:rsid w:val="00101C90"/>
    <w:rsid w:val="00101D40"/>
    <w:rsid w:val="00103111"/>
    <w:rsid w:val="0010327C"/>
    <w:rsid w:val="00103E4B"/>
    <w:rsid w:val="00103E71"/>
    <w:rsid w:val="00104849"/>
    <w:rsid w:val="0010527A"/>
    <w:rsid w:val="001054B4"/>
    <w:rsid w:val="00105956"/>
    <w:rsid w:val="00107394"/>
    <w:rsid w:val="001074E7"/>
    <w:rsid w:val="001075C1"/>
    <w:rsid w:val="001077ED"/>
    <w:rsid w:val="00107B1D"/>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1BD0"/>
    <w:rsid w:val="00121F7F"/>
    <w:rsid w:val="00122472"/>
    <w:rsid w:val="001244EB"/>
    <w:rsid w:val="0012494A"/>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35F6"/>
    <w:rsid w:val="0014405C"/>
    <w:rsid w:val="0014413C"/>
    <w:rsid w:val="00144795"/>
    <w:rsid w:val="001448D4"/>
    <w:rsid w:val="00144B23"/>
    <w:rsid w:val="00144BEB"/>
    <w:rsid w:val="00145A96"/>
    <w:rsid w:val="00146C1A"/>
    <w:rsid w:val="00150AFC"/>
    <w:rsid w:val="00151DA8"/>
    <w:rsid w:val="00152135"/>
    <w:rsid w:val="00153164"/>
    <w:rsid w:val="00154752"/>
    <w:rsid w:val="00154B0F"/>
    <w:rsid w:val="00154E30"/>
    <w:rsid w:val="00155A51"/>
    <w:rsid w:val="001560C4"/>
    <w:rsid w:val="00156A50"/>
    <w:rsid w:val="00156B77"/>
    <w:rsid w:val="00156E31"/>
    <w:rsid w:val="00160472"/>
    <w:rsid w:val="00162951"/>
    <w:rsid w:val="001630B4"/>
    <w:rsid w:val="00165258"/>
    <w:rsid w:val="00165670"/>
    <w:rsid w:val="00165A99"/>
    <w:rsid w:val="0016613B"/>
    <w:rsid w:val="001675AA"/>
    <w:rsid w:val="00170325"/>
    <w:rsid w:val="00172576"/>
    <w:rsid w:val="00173AB9"/>
    <w:rsid w:val="001747DB"/>
    <w:rsid w:val="00174F3B"/>
    <w:rsid w:val="00175B12"/>
    <w:rsid w:val="00175C59"/>
    <w:rsid w:val="00175F8E"/>
    <w:rsid w:val="00176167"/>
    <w:rsid w:val="00176A70"/>
    <w:rsid w:val="0017701E"/>
    <w:rsid w:val="00177020"/>
    <w:rsid w:val="00177951"/>
    <w:rsid w:val="00177C62"/>
    <w:rsid w:val="00177CC8"/>
    <w:rsid w:val="0018072F"/>
    <w:rsid w:val="00180A53"/>
    <w:rsid w:val="00181BB0"/>
    <w:rsid w:val="00182BBD"/>
    <w:rsid w:val="00182C96"/>
    <w:rsid w:val="001837BD"/>
    <w:rsid w:val="00183B46"/>
    <w:rsid w:val="0018562F"/>
    <w:rsid w:val="0018575D"/>
    <w:rsid w:val="0018586D"/>
    <w:rsid w:val="001858C6"/>
    <w:rsid w:val="00185A9C"/>
    <w:rsid w:val="00185C58"/>
    <w:rsid w:val="00186758"/>
    <w:rsid w:val="00187BCC"/>
    <w:rsid w:val="00190200"/>
    <w:rsid w:val="00190EF7"/>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B"/>
    <w:rsid w:val="001A432C"/>
    <w:rsid w:val="001A4C1C"/>
    <w:rsid w:val="001A4DBB"/>
    <w:rsid w:val="001A55B8"/>
    <w:rsid w:val="001A576D"/>
    <w:rsid w:val="001A57C5"/>
    <w:rsid w:val="001A6053"/>
    <w:rsid w:val="001A7761"/>
    <w:rsid w:val="001B0CED"/>
    <w:rsid w:val="001B459A"/>
    <w:rsid w:val="001B4C8F"/>
    <w:rsid w:val="001B5232"/>
    <w:rsid w:val="001B52F0"/>
    <w:rsid w:val="001B6FFC"/>
    <w:rsid w:val="001B72C7"/>
    <w:rsid w:val="001C1C00"/>
    <w:rsid w:val="001C1C5D"/>
    <w:rsid w:val="001C2409"/>
    <w:rsid w:val="001C266E"/>
    <w:rsid w:val="001C4413"/>
    <w:rsid w:val="001C498D"/>
    <w:rsid w:val="001C4AFD"/>
    <w:rsid w:val="001C50A0"/>
    <w:rsid w:val="001C5167"/>
    <w:rsid w:val="001C53D5"/>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43E4"/>
    <w:rsid w:val="001E577A"/>
    <w:rsid w:val="001E637E"/>
    <w:rsid w:val="001E66EE"/>
    <w:rsid w:val="001E679E"/>
    <w:rsid w:val="001E6A86"/>
    <w:rsid w:val="001E6A96"/>
    <w:rsid w:val="001E6D9E"/>
    <w:rsid w:val="001E6FB8"/>
    <w:rsid w:val="001E7C7E"/>
    <w:rsid w:val="001F031E"/>
    <w:rsid w:val="001F0F10"/>
    <w:rsid w:val="001F1ACC"/>
    <w:rsid w:val="001F23D0"/>
    <w:rsid w:val="001F24E7"/>
    <w:rsid w:val="001F2760"/>
    <w:rsid w:val="001F2F24"/>
    <w:rsid w:val="001F4025"/>
    <w:rsid w:val="001F4BF6"/>
    <w:rsid w:val="001F55CC"/>
    <w:rsid w:val="001F5685"/>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D43"/>
    <w:rsid w:val="00207EA9"/>
    <w:rsid w:val="00210959"/>
    <w:rsid w:val="00211D7E"/>
    <w:rsid w:val="00211DE1"/>
    <w:rsid w:val="00212062"/>
    <w:rsid w:val="00213310"/>
    <w:rsid w:val="002134FD"/>
    <w:rsid w:val="002140F4"/>
    <w:rsid w:val="0021437E"/>
    <w:rsid w:val="0021440B"/>
    <w:rsid w:val="0021446F"/>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090B"/>
    <w:rsid w:val="002319C1"/>
    <w:rsid w:val="002326EC"/>
    <w:rsid w:val="00232BF5"/>
    <w:rsid w:val="002338A0"/>
    <w:rsid w:val="00233FF2"/>
    <w:rsid w:val="002341EB"/>
    <w:rsid w:val="0023423A"/>
    <w:rsid w:val="002346E7"/>
    <w:rsid w:val="00235900"/>
    <w:rsid w:val="00235A26"/>
    <w:rsid w:val="00235ADF"/>
    <w:rsid w:val="00235FEF"/>
    <w:rsid w:val="00237E07"/>
    <w:rsid w:val="00240136"/>
    <w:rsid w:val="00240736"/>
    <w:rsid w:val="00240C70"/>
    <w:rsid w:val="0024185D"/>
    <w:rsid w:val="002423DE"/>
    <w:rsid w:val="00242E29"/>
    <w:rsid w:val="00242F54"/>
    <w:rsid w:val="00243017"/>
    <w:rsid w:val="0024305D"/>
    <w:rsid w:val="00244442"/>
    <w:rsid w:val="0024498F"/>
    <w:rsid w:val="00247014"/>
    <w:rsid w:val="002504F9"/>
    <w:rsid w:val="00250C39"/>
    <w:rsid w:val="00250E25"/>
    <w:rsid w:val="00251EE2"/>
    <w:rsid w:val="00252501"/>
    <w:rsid w:val="00252ABE"/>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923"/>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98"/>
    <w:rsid w:val="002773DB"/>
    <w:rsid w:val="00277791"/>
    <w:rsid w:val="002777DF"/>
    <w:rsid w:val="002807CC"/>
    <w:rsid w:val="00280C69"/>
    <w:rsid w:val="00280EC5"/>
    <w:rsid w:val="0028178E"/>
    <w:rsid w:val="00281A75"/>
    <w:rsid w:val="00281F6C"/>
    <w:rsid w:val="0028234F"/>
    <w:rsid w:val="0028452B"/>
    <w:rsid w:val="00284D74"/>
    <w:rsid w:val="00285DDF"/>
    <w:rsid w:val="00286BF2"/>
    <w:rsid w:val="002872B8"/>
    <w:rsid w:val="002872F2"/>
    <w:rsid w:val="00287951"/>
    <w:rsid w:val="00287B8B"/>
    <w:rsid w:val="00290525"/>
    <w:rsid w:val="00290713"/>
    <w:rsid w:val="0029078F"/>
    <w:rsid w:val="00290C26"/>
    <w:rsid w:val="00290F61"/>
    <w:rsid w:val="0029112F"/>
    <w:rsid w:val="00292008"/>
    <w:rsid w:val="0029237C"/>
    <w:rsid w:val="002924BA"/>
    <w:rsid w:val="00292E08"/>
    <w:rsid w:val="00293003"/>
    <w:rsid w:val="00293574"/>
    <w:rsid w:val="00294324"/>
    <w:rsid w:val="002946D4"/>
    <w:rsid w:val="002947C0"/>
    <w:rsid w:val="002962BA"/>
    <w:rsid w:val="002965CE"/>
    <w:rsid w:val="00296EC3"/>
    <w:rsid w:val="00297405"/>
    <w:rsid w:val="002A02BE"/>
    <w:rsid w:val="002A0A3B"/>
    <w:rsid w:val="002A0DB7"/>
    <w:rsid w:val="002A0F12"/>
    <w:rsid w:val="002A1602"/>
    <w:rsid w:val="002A1A1C"/>
    <w:rsid w:val="002A245D"/>
    <w:rsid w:val="002A3CC2"/>
    <w:rsid w:val="002A529C"/>
    <w:rsid w:val="002A58FA"/>
    <w:rsid w:val="002A69B8"/>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BD9"/>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822"/>
    <w:rsid w:val="002F2FA8"/>
    <w:rsid w:val="002F311C"/>
    <w:rsid w:val="002F335A"/>
    <w:rsid w:val="002F51A5"/>
    <w:rsid w:val="002F5F01"/>
    <w:rsid w:val="002F6300"/>
    <w:rsid w:val="0030016D"/>
    <w:rsid w:val="00301F62"/>
    <w:rsid w:val="00302DBD"/>
    <w:rsid w:val="003030D7"/>
    <w:rsid w:val="00304F20"/>
    <w:rsid w:val="00305223"/>
    <w:rsid w:val="00305A72"/>
    <w:rsid w:val="00305BDF"/>
    <w:rsid w:val="00305F83"/>
    <w:rsid w:val="00306B2E"/>
    <w:rsid w:val="003070FF"/>
    <w:rsid w:val="00307475"/>
    <w:rsid w:val="00307499"/>
    <w:rsid w:val="00307DCC"/>
    <w:rsid w:val="003116A8"/>
    <w:rsid w:val="0031275A"/>
    <w:rsid w:val="003127DD"/>
    <w:rsid w:val="00312E1C"/>
    <w:rsid w:val="00313EB3"/>
    <w:rsid w:val="00313FC5"/>
    <w:rsid w:val="00315003"/>
    <w:rsid w:val="00315D6F"/>
    <w:rsid w:val="00316DC1"/>
    <w:rsid w:val="00320652"/>
    <w:rsid w:val="00321235"/>
    <w:rsid w:val="003213DE"/>
    <w:rsid w:val="00321446"/>
    <w:rsid w:val="00322EB1"/>
    <w:rsid w:val="00323534"/>
    <w:rsid w:val="00323930"/>
    <w:rsid w:val="003242E2"/>
    <w:rsid w:val="003254F4"/>
    <w:rsid w:val="00325919"/>
    <w:rsid w:val="003262EA"/>
    <w:rsid w:val="0032667A"/>
    <w:rsid w:val="0032670A"/>
    <w:rsid w:val="00326990"/>
    <w:rsid w:val="00327428"/>
    <w:rsid w:val="003279BA"/>
    <w:rsid w:val="00327C29"/>
    <w:rsid w:val="00330E29"/>
    <w:rsid w:val="003319A7"/>
    <w:rsid w:val="00332104"/>
    <w:rsid w:val="00332261"/>
    <w:rsid w:val="0033231E"/>
    <w:rsid w:val="0033351E"/>
    <w:rsid w:val="00333878"/>
    <w:rsid w:val="00333FEE"/>
    <w:rsid w:val="003357AB"/>
    <w:rsid w:val="00335EF3"/>
    <w:rsid w:val="003363E7"/>
    <w:rsid w:val="003364EB"/>
    <w:rsid w:val="00336990"/>
    <w:rsid w:val="0034083D"/>
    <w:rsid w:val="003409BE"/>
    <w:rsid w:val="00340B83"/>
    <w:rsid w:val="00341929"/>
    <w:rsid w:val="00341F47"/>
    <w:rsid w:val="00342365"/>
    <w:rsid w:val="00343BE2"/>
    <w:rsid w:val="00343E90"/>
    <w:rsid w:val="00345D48"/>
    <w:rsid w:val="003468AA"/>
    <w:rsid w:val="00346D5D"/>
    <w:rsid w:val="00346FA2"/>
    <w:rsid w:val="00347C02"/>
    <w:rsid w:val="00350DF1"/>
    <w:rsid w:val="003524E5"/>
    <w:rsid w:val="00352959"/>
    <w:rsid w:val="00352B5E"/>
    <w:rsid w:val="00352BC7"/>
    <w:rsid w:val="003543BE"/>
    <w:rsid w:val="00354AE7"/>
    <w:rsid w:val="00354CFD"/>
    <w:rsid w:val="00355509"/>
    <w:rsid w:val="00355DCF"/>
    <w:rsid w:val="0035692B"/>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992"/>
    <w:rsid w:val="00365E9F"/>
    <w:rsid w:val="003664C9"/>
    <w:rsid w:val="00366871"/>
    <w:rsid w:val="0036711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68F"/>
    <w:rsid w:val="00390BD4"/>
    <w:rsid w:val="00391311"/>
    <w:rsid w:val="003915B9"/>
    <w:rsid w:val="0039194A"/>
    <w:rsid w:val="00391A39"/>
    <w:rsid w:val="00391F5A"/>
    <w:rsid w:val="003936BB"/>
    <w:rsid w:val="00393961"/>
    <w:rsid w:val="00394467"/>
    <w:rsid w:val="00395521"/>
    <w:rsid w:val="00395A71"/>
    <w:rsid w:val="00396A5B"/>
    <w:rsid w:val="00396D00"/>
    <w:rsid w:val="00397160"/>
    <w:rsid w:val="003A0693"/>
    <w:rsid w:val="003A06A7"/>
    <w:rsid w:val="003A2056"/>
    <w:rsid w:val="003A2E60"/>
    <w:rsid w:val="003A4B3A"/>
    <w:rsid w:val="003A5707"/>
    <w:rsid w:val="003A6459"/>
    <w:rsid w:val="003A7860"/>
    <w:rsid w:val="003A796A"/>
    <w:rsid w:val="003B009E"/>
    <w:rsid w:val="003B1472"/>
    <w:rsid w:val="003B1A5F"/>
    <w:rsid w:val="003B1D0F"/>
    <w:rsid w:val="003B282B"/>
    <w:rsid w:val="003B2B19"/>
    <w:rsid w:val="003B4BC1"/>
    <w:rsid w:val="003B4FB6"/>
    <w:rsid w:val="003B5441"/>
    <w:rsid w:val="003B5A8C"/>
    <w:rsid w:val="003B5C47"/>
    <w:rsid w:val="003B6158"/>
    <w:rsid w:val="003B7DE9"/>
    <w:rsid w:val="003C1EA0"/>
    <w:rsid w:val="003C219B"/>
    <w:rsid w:val="003C2846"/>
    <w:rsid w:val="003C2DBA"/>
    <w:rsid w:val="003C2F4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D7FDF"/>
    <w:rsid w:val="003E1C0F"/>
    <w:rsid w:val="003E260D"/>
    <w:rsid w:val="003E28D8"/>
    <w:rsid w:val="003E3201"/>
    <w:rsid w:val="003E33A0"/>
    <w:rsid w:val="003E374E"/>
    <w:rsid w:val="003E3F3B"/>
    <w:rsid w:val="003E4C87"/>
    <w:rsid w:val="003E54DE"/>
    <w:rsid w:val="003E57BF"/>
    <w:rsid w:val="003E6FC2"/>
    <w:rsid w:val="003E7191"/>
    <w:rsid w:val="003E7944"/>
    <w:rsid w:val="003F057E"/>
    <w:rsid w:val="003F1304"/>
    <w:rsid w:val="003F21EE"/>
    <w:rsid w:val="003F2C67"/>
    <w:rsid w:val="003F517A"/>
    <w:rsid w:val="003F5824"/>
    <w:rsid w:val="003F61E0"/>
    <w:rsid w:val="003F641B"/>
    <w:rsid w:val="003F6B36"/>
    <w:rsid w:val="003F75BB"/>
    <w:rsid w:val="003F7A17"/>
    <w:rsid w:val="00401820"/>
    <w:rsid w:val="00402C8F"/>
    <w:rsid w:val="00402FED"/>
    <w:rsid w:val="00403087"/>
    <w:rsid w:val="004032A5"/>
    <w:rsid w:val="0040594C"/>
    <w:rsid w:val="00405C5D"/>
    <w:rsid w:val="00407C38"/>
    <w:rsid w:val="0041023B"/>
    <w:rsid w:val="0041061B"/>
    <w:rsid w:val="00411195"/>
    <w:rsid w:val="00411413"/>
    <w:rsid w:val="00411798"/>
    <w:rsid w:val="004127A0"/>
    <w:rsid w:val="00412ABD"/>
    <w:rsid w:val="00412C14"/>
    <w:rsid w:val="00413801"/>
    <w:rsid w:val="00413861"/>
    <w:rsid w:val="00414254"/>
    <w:rsid w:val="0041471C"/>
    <w:rsid w:val="00414BB2"/>
    <w:rsid w:val="004154F5"/>
    <w:rsid w:val="0041567E"/>
    <w:rsid w:val="004159B2"/>
    <w:rsid w:val="004172BF"/>
    <w:rsid w:val="00420227"/>
    <w:rsid w:val="00420545"/>
    <w:rsid w:val="00420E1B"/>
    <w:rsid w:val="00420EE4"/>
    <w:rsid w:val="00421305"/>
    <w:rsid w:val="00421F14"/>
    <w:rsid w:val="0042209A"/>
    <w:rsid w:val="0042222E"/>
    <w:rsid w:val="00422416"/>
    <w:rsid w:val="0042256D"/>
    <w:rsid w:val="004226CD"/>
    <w:rsid w:val="00422766"/>
    <w:rsid w:val="004236F4"/>
    <w:rsid w:val="00423C96"/>
    <w:rsid w:val="00425453"/>
    <w:rsid w:val="004260D4"/>
    <w:rsid w:val="004260DE"/>
    <w:rsid w:val="0042761F"/>
    <w:rsid w:val="00427B15"/>
    <w:rsid w:val="00430374"/>
    <w:rsid w:val="00430B2F"/>
    <w:rsid w:val="00430D67"/>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563B"/>
    <w:rsid w:val="00445F97"/>
    <w:rsid w:val="004461CD"/>
    <w:rsid w:val="00446742"/>
    <w:rsid w:val="00446920"/>
    <w:rsid w:val="00446A96"/>
    <w:rsid w:val="00446C00"/>
    <w:rsid w:val="004474C1"/>
    <w:rsid w:val="0044763A"/>
    <w:rsid w:val="00447E12"/>
    <w:rsid w:val="004507D8"/>
    <w:rsid w:val="00451431"/>
    <w:rsid w:val="004516EC"/>
    <w:rsid w:val="00452B20"/>
    <w:rsid w:val="00453D7B"/>
    <w:rsid w:val="004548ED"/>
    <w:rsid w:val="00454A2A"/>
    <w:rsid w:val="00454A31"/>
    <w:rsid w:val="00455B1F"/>
    <w:rsid w:val="00455C55"/>
    <w:rsid w:val="00456003"/>
    <w:rsid w:val="00456067"/>
    <w:rsid w:val="00456A47"/>
    <w:rsid w:val="0045790D"/>
    <w:rsid w:val="00457BC4"/>
    <w:rsid w:val="00460001"/>
    <w:rsid w:val="0046058E"/>
    <w:rsid w:val="00460F4A"/>
    <w:rsid w:val="00460F61"/>
    <w:rsid w:val="0046109A"/>
    <w:rsid w:val="0046197A"/>
    <w:rsid w:val="00461A9E"/>
    <w:rsid w:val="00462FA2"/>
    <w:rsid w:val="00465D41"/>
    <w:rsid w:val="00467039"/>
    <w:rsid w:val="0046758D"/>
    <w:rsid w:val="0046774D"/>
    <w:rsid w:val="004701D8"/>
    <w:rsid w:val="00470A2B"/>
    <w:rsid w:val="004715B7"/>
    <w:rsid w:val="004715CD"/>
    <w:rsid w:val="00471CB4"/>
    <w:rsid w:val="00472590"/>
    <w:rsid w:val="00472BA6"/>
    <w:rsid w:val="00472D92"/>
    <w:rsid w:val="004733F3"/>
    <w:rsid w:val="004743C0"/>
    <w:rsid w:val="00474CA4"/>
    <w:rsid w:val="00474E36"/>
    <w:rsid w:val="00475D6D"/>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67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0F2"/>
    <w:rsid w:val="004A36A8"/>
    <w:rsid w:val="004A37EB"/>
    <w:rsid w:val="004A3A2D"/>
    <w:rsid w:val="004A3CCF"/>
    <w:rsid w:val="004A476E"/>
    <w:rsid w:val="004A5096"/>
    <w:rsid w:val="004A54FE"/>
    <w:rsid w:val="004A5DC0"/>
    <w:rsid w:val="004A603F"/>
    <w:rsid w:val="004A64E5"/>
    <w:rsid w:val="004A6AB4"/>
    <w:rsid w:val="004A7239"/>
    <w:rsid w:val="004A75B0"/>
    <w:rsid w:val="004A78CD"/>
    <w:rsid w:val="004A7A22"/>
    <w:rsid w:val="004A7E0A"/>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CDB"/>
    <w:rsid w:val="004C7E69"/>
    <w:rsid w:val="004C7F1D"/>
    <w:rsid w:val="004D0231"/>
    <w:rsid w:val="004D066D"/>
    <w:rsid w:val="004D1409"/>
    <w:rsid w:val="004D1852"/>
    <w:rsid w:val="004D1AAF"/>
    <w:rsid w:val="004D24E3"/>
    <w:rsid w:val="004D25DC"/>
    <w:rsid w:val="004D2645"/>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38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11426"/>
    <w:rsid w:val="00511573"/>
    <w:rsid w:val="00511779"/>
    <w:rsid w:val="00512353"/>
    <w:rsid w:val="00512508"/>
    <w:rsid w:val="0051361C"/>
    <w:rsid w:val="00513C29"/>
    <w:rsid w:val="00513FB7"/>
    <w:rsid w:val="00514A01"/>
    <w:rsid w:val="00514A89"/>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9A"/>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0C86"/>
    <w:rsid w:val="00552A6C"/>
    <w:rsid w:val="00552AD2"/>
    <w:rsid w:val="005539ED"/>
    <w:rsid w:val="00553C00"/>
    <w:rsid w:val="00554C8D"/>
    <w:rsid w:val="005553FE"/>
    <w:rsid w:val="005555FB"/>
    <w:rsid w:val="00556A6F"/>
    <w:rsid w:val="0055710E"/>
    <w:rsid w:val="00557844"/>
    <w:rsid w:val="00560433"/>
    <w:rsid w:val="00560464"/>
    <w:rsid w:val="005606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6F2"/>
    <w:rsid w:val="00573B96"/>
    <w:rsid w:val="0057408D"/>
    <w:rsid w:val="00574CC2"/>
    <w:rsid w:val="00574D98"/>
    <w:rsid w:val="0057515B"/>
    <w:rsid w:val="005752E2"/>
    <w:rsid w:val="0057545A"/>
    <w:rsid w:val="00575FB1"/>
    <w:rsid w:val="00577AB3"/>
    <w:rsid w:val="00580455"/>
    <w:rsid w:val="005808CA"/>
    <w:rsid w:val="0058115C"/>
    <w:rsid w:val="0058173B"/>
    <w:rsid w:val="005820B6"/>
    <w:rsid w:val="00582153"/>
    <w:rsid w:val="005828B5"/>
    <w:rsid w:val="00582B42"/>
    <w:rsid w:val="00583227"/>
    <w:rsid w:val="005832EB"/>
    <w:rsid w:val="00583527"/>
    <w:rsid w:val="005837FD"/>
    <w:rsid w:val="005843B5"/>
    <w:rsid w:val="00584BA6"/>
    <w:rsid w:val="00584C74"/>
    <w:rsid w:val="00585601"/>
    <w:rsid w:val="0058589F"/>
    <w:rsid w:val="005858A3"/>
    <w:rsid w:val="0058593A"/>
    <w:rsid w:val="00585FFF"/>
    <w:rsid w:val="0058649E"/>
    <w:rsid w:val="0058662F"/>
    <w:rsid w:val="0058694F"/>
    <w:rsid w:val="00586ED1"/>
    <w:rsid w:val="005878D0"/>
    <w:rsid w:val="00587E65"/>
    <w:rsid w:val="0059101B"/>
    <w:rsid w:val="00592474"/>
    <w:rsid w:val="0059286F"/>
    <w:rsid w:val="00592BC7"/>
    <w:rsid w:val="00592F54"/>
    <w:rsid w:val="00593641"/>
    <w:rsid w:val="00593EBB"/>
    <w:rsid w:val="00596960"/>
    <w:rsid w:val="005970A9"/>
    <w:rsid w:val="00597579"/>
    <w:rsid w:val="00597823"/>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9F"/>
    <w:rsid w:val="005B28D1"/>
    <w:rsid w:val="005B29C6"/>
    <w:rsid w:val="005B425D"/>
    <w:rsid w:val="005B496D"/>
    <w:rsid w:val="005B4D7C"/>
    <w:rsid w:val="005B52C4"/>
    <w:rsid w:val="005C026B"/>
    <w:rsid w:val="005C0790"/>
    <w:rsid w:val="005C194C"/>
    <w:rsid w:val="005C2667"/>
    <w:rsid w:val="005C295A"/>
    <w:rsid w:val="005C2C21"/>
    <w:rsid w:val="005C3B4F"/>
    <w:rsid w:val="005C44D1"/>
    <w:rsid w:val="005C52A6"/>
    <w:rsid w:val="005C6812"/>
    <w:rsid w:val="005C6D2C"/>
    <w:rsid w:val="005C70B5"/>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1A4"/>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6F05"/>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2232"/>
    <w:rsid w:val="00613278"/>
    <w:rsid w:val="006138E0"/>
    <w:rsid w:val="00613BFA"/>
    <w:rsid w:val="00614799"/>
    <w:rsid w:val="0061564E"/>
    <w:rsid w:val="00615D0E"/>
    <w:rsid w:val="0061673E"/>
    <w:rsid w:val="00617744"/>
    <w:rsid w:val="00617950"/>
    <w:rsid w:val="00617BB8"/>
    <w:rsid w:val="00621772"/>
    <w:rsid w:val="00622770"/>
    <w:rsid w:val="00622801"/>
    <w:rsid w:val="00622BDF"/>
    <w:rsid w:val="00623221"/>
    <w:rsid w:val="00624FDF"/>
    <w:rsid w:val="006252F2"/>
    <w:rsid w:val="00625D43"/>
    <w:rsid w:val="00626122"/>
    <w:rsid w:val="006266FE"/>
    <w:rsid w:val="00626803"/>
    <w:rsid w:val="006278F4"/>
    <w:rsid w:val="00627B98"/>
    <w:rsid w:val="00631305"/>
    <w:rsid w:val="00631F71"/>
    <w:rsid w:val="006328A6"/>
    <w:rsid w:val="00633181"/>
    <w:rsid w:val="0063336C"/>
    <w:rsid w:val="00633471"/>
    <w:rsid w:val="00633B1C"/>
    <w:rsid w:val="00633C00"/>
    <w:rsid w:val="00633EFA"/>
    <w:rsid w:val="00634434"/>
    <w:rsid w:val="0063460D"/>
    <w:rsid w:val="006349A7"/>
    <w:rsid w:val="00634C01"/>
    <w:rsid w:val="00634DD7"/>
    <w:rsid w:val="00634EA3"/>
    <w:rsid w:val="00635717"/>
    <w:rsid w:val="0063685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5820"/>
    <w:rsid w:val="00666579"/>
    <w:rsid w:val="00666A21"/>
    <w:rsid w:val="00666FFD"/>
    <w:rsid w:val="00667755"/>
    <w:rsid w:val="00667944"/>
    <w:rsid w:val="00670A4F"/>
    <w:rsid w:val="00670E87"/>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0922"/>
    <w:rsid w:val="0068254A"/>
    <w:rsid w:val="00683327"/>
    <w:rsid w:val="00683AAE"/>
    <w:rsid w:val="00683C7C"/>
    <w:rsid w:val="0068444E"/>
    <w:rsid w:val="00684881"/>
    <w:rsid w:val="00685107"/>
    <w:rsid w:val="00685164"/>
    <w:rsid w:val="006852BE"/>
    <w:rsid w:val="00685620"/>
    <w:rsid w:val="00685E5D"/>
    <w:rsid w:val="0068667E"/>
    <w:rsid w:val="00687C15"/>
    <w:rsid w:val="00690202"/>
    <w:rsid w:val="006909A7"/>
    <w:rsid w:val="006913AD"/>
    <w:rsid w:val="006917AF"/>
    <w:rsid w:val="006919C1"/>
    <w:rsid w:val="0069283D"/>
    <w:rsid w:val="00692A50"/>
    <w:rsid w:val="00693997"/>
    <w:rsid w:val="00693B34"/>
    <w:rsid w:val="00694B18"/>
    <w:rsid w:val="00694B30"/>
    <w:rsid w:val="00694B8A"/>
    <w:rsid w:val="00694C2D"/>
    <w:rsid w:val="00696693"/>
    <w:rsid w:val="00697304"/>
    <w:rsid w:val="006A0C3B"/>
    <w:rsid w:val="006A1D42"/>
    <w:rsid w:val="006A29D6"/>
    <w:rsid w:val="006A2EC3"/>
    <w:rsid w:val="006A37C9"/>
    <w:rsid w:val="006A3AAD"/>
    <w:rsid w:val="006A3CFD"/>
    <w:rsid w:val="006A3F40"/>
    <w:rsid w:val="006A5A46"/>
    <w:rsid w:val="006A790B"/>
    <w:rsid w:val="006A7B7D"/>
    <w:rsid w:val="006B01F7"/>
    <w:rsid w:val="006B33B8"/>
    <w:rsid w:val="006B34B3"/>
    <w:rsid w:val="006B371D"/>
    <w:rsid w:val="006B4156"/>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FA8"/>
    <w:rsid w:val="006D1263"/>
    <w:rsid w:val="006D171C"/>
    <w:rsid w:val="006D21AA"/>
    <w:rsid w:val="006D23BA"/>
    <w:rsid w:val="006D24CA"/>
    <w:rsid w:val="006D2A42"/>
    <w:rsid w:val="006D341B"/>
    <w:rsid w:val="006D3542"/>
    <w:rsid w:val="006D4EA6"/>
    <w:rsid w:val="006D5240"/>
    <w:rsid w:val="006D618E"/>
    <w:rsid w:val="006D62DA"/>
    <w:rsid w:val="006D662E"/>
    <w:rsid w:val="006D66E8"/>
    <w:rsid w:val="006D6AEC"/>
    <w:rsid w:val="006D6E11"/>
    <w:rsid w:val="006D6FA0"/>
    <w:rsid w:val="006E0743"/>
    <w:rsid w:val="006E08C9"/>
    <w:rsid w:val="006E09C3"/>
    <w:rsid w:val="006E28B1"/>
    <w:rsid w:val="006E3E7B"/>
    <w:rsid w:val="006E3F80"/>
    <w:rsid w:val="006E423D"/>
    <w:rsid w:val="006E4C56"/>
    <w:rsid w:val="006E4DDD"/>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6F7392"/>
    <w:rsid w:val="00700342"/>
    <w:rsid w:val="007006E7"/>
    <w:rsid w:val="00701964"/>
    <w:rsid w:val="00701BB0"/>
    <w:rsid w:val="00702357"/>
    <w:rsid w:val="00702DB8"/>
    <w:rsid w:val="007034B1"/>
    <w:rsid w:val="00703C67"/>
    <w:rsid w:val="007061F8"/>
    <w:rsid w:val="00706B11"/>
    <w:rsid w:val="00706FB2"/>
    <w:rsid w:val="00707218"/>
    <w:rsid w:val="007074F5"/>
    <w:rsid w:val="00707DEE"/>
    <w:rsid w:val="00711A79"/>
    <w:rsid w:val="007125BE"/>
    <w:rsid w:val="0071294F"/>
    <w:rsid w:val="00712EA4"/>
    <w:rsid w:val="00712F85"/>
    <w:rsid w:val="00714B4F"/>
    <w:rsid w:val="007150C5"/>
    <w:rsid w:val="007150E9"/>
    <w:rsid w:val="00715ACF"/>
    <w:rsid w:val="007161D0"/>
    <w:rsid w:val="007162FB"/>
    <w:rsid w:val="00716EF1"/>
    <w:rsid w:val="007173D7"/>
    <w:rsid w:val="00717ADD"/>
    <w:rsid w:val="0072084C"/>
    <w:rsid w:val="00720AC2"/>
    <w:rsid w:val="007230D3"/>
    <w:rsid w:val="0072348D"/>
    <w:rsid w:val="007242A5"/>
    <w:rsid w:val="00725714"/>
    <w:rsid w:val="0072615B"/>
    <w:rsid w:val="007267CF"/>
    <w:rsid w:val="00727843"/>
    <w:rsid w:val="0073079A"/>
    <w:rsid w:val="00731FCA"/>
    <w:rsid w:val="007325C8"/>
    <w:rsid w:val="00732B93"/>
    <w:rsid w:val="0073324D"/>
    <w:rsid w:val="0073362E"/>
    <w:rsid w:val="00733908"/>
    <w:rsid w:val="00735381"/>
    <w:rsid w:val="007363FE"/>
    <w:rsid w:val="00736D6F"/>
    <w:rsid w:val="0074014C"/>
    <w:rsid w:val="00741656"/>
    <w:rsid w:val="0074207B"/>
    <w:rsid w:val="00742164"/>
    <w:rsid w:val="007425D5"/>
    <w:rsid w:val="00742A9E"/>
    <w:rsid w:val="007434DC"/>
    <w:rsid w:val="0074407C"/>
    <w:rsid w:val="007443EA"/>
    <w:rsid w:val="007444A8"/>
    <w:rsid w:val="0074476D"/>
    <w:rsid w:val="00744C0E"/>
    <w:rsid w:val="0074539C"/>
    <w:rsid w:val="00745752"/>
    <w:rsid w:val="00745890"/>
    <w:rsid w:val="007473CD"/>
    <w:rsid w:val="00747C35"/>
    <w:rsid w:val="00751072"/>
    <w:rsid w:val="00751334"/>
    <w:rsid w:val="00752352"/>
    <w:rsid w:val="007526DB"/>
    <w:rsid w:val="0075276C"/>
    <w:rsid w:val="00752956"/>
    <w:rsid w:val="00753B12"/>
    <w:rsid w:val="00753CC1"/>
    <w:rsid w:val="007547EA"/>
    <w:rsid w:val="00754A73"/>
    <w:rsid w:val="00755454"/>
    <w:rsid w:val="0075604E"/>
    <w:rsid w:val="00760B2C"/>
    <w:rsid w:val="007622EA"/>
    <w:rsid w:val="007627F6"/>
    <w:rsid w:val="00762AE4"/>
    <w:rsid w:val="00762DDD"/>
    <w:rsid w:val="0076331A"/>
    <w:rsid w:val="0076417D"/>
    <w:rsid w:val="00765BBE"/>
    <w:rsid w:val="00766061"/>
    <w:rsid w:val="007704F3"/>
    <w:rsid w:val="007710F2"/>
    <w:rsid w:val="007716E9"/>
    <w:rsid w:val="00772C13"/>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556"/>
    <w:rsid w:val="007939D1"/>
    <w:rsid w:val="00793AEA"/>
    <w:rsid w:val="007944F5"/>
    <w:rsid w:val="007947EE"/>
    <w:rsid w:val="00794B80"/>
    <w:rsid w:val="00795343"/>
    <w:rsid w:val="00795B5C"/>
    <w:rsid w:val="00796193"/>
    <w:rsid w:val="007963DF"/>
    <w:rsid w:val="00796772"/>
    <w:rsid w:val="00796F80"/>
    <w:rsid w:val="00797128"/>
    <w:rsid w:val="00797531"/>
    <w:rsid w:val="00797A9A"/>
    <w:rsid w:val="007A05B6"/>
    <w:rsid w:val="007A141E"/>
    <w:rsid w:val="007A1AA9"/>
    <w:rsid w:val="007A3667"/>
    <w:rsid w:val="007A535B"/>
    <w:rsid w:val="007A56B7"/>
    <w:rsid w:val="007A5CEC"/>
    <w:rsid w:val="007A61F8"/>
    <w:rsid w:val="007A6B97"/>
    <w:rsid w:val="007A7386"/>
    <w:rsid w:val="007A73DC"/>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03A8"/>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070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4876"/>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9A7"/>
    <w:rsid w:val="00813D9B"/>
    <w:rsid w:val="008140EC"/>
    <w:rsid w:val="00814A2D"/>
    <w:rsid w:val="00817095"/>
    <w:rsid w:val="008171AA"/>
    <w:rsid w:val="0082041F"/>
    <w:rsid w:val="00820E53"/>
    <w:rsid w:val="0082142E"/>
    <w:rsid w:val="00821A95"/>
    <w:rsid w:val="00822077"/>
    <w:rsid w:val="00822A02"/>
    <w:rsid w:val="008231A9"/>
    <w:rsid w:val="0082357B"/>
    <w:rsid w:val="0082395F"/>
    <w:rsid w:val="00823B22"/>
    <w:rsid w:val="00823BFA"/>
    <w:rsid w:val="00824FA8"/>
    <w:rsid w:val="008254BC"/>
    <w:rsid w:val="00826FDC"/>
    <w:rsid w:val="008308BE"/>
    <w:rsid w:val="00830CE5"/>
    <w:rsid w:val="008313C2"/>
    <w:rsid w:val="008318B8"/>
    <w:rsid w:val="00832520"/>
    <w:rsid w:val="00832E80"/>
    <w:rsid w:val="00832EB5"/>
    <w:rsid w:val="00832F22"/>
    <w:rsid w:val="0083565A"/>
    <w:rsid w:val="00835A0B"/>
    <w:rsid w:val="008371DB"/>
    <w:rsid w:val="00840008"/>
    <w:rsid w:val="0084089C"/>
    <w:rsid w:val="008409AE"/>
    <w:rsid w:val="00840EA7"/>
    <w:rsid w:val="008428E1"/>
    <w:rsid w:val="00842F87"/>
    <w:rsid w:val="008432CC"/>
    <w:rsid w:val="00843CE4"/>
    <w:rsid w:val="0084425F"/>
    <w:rsid w:val="008445A6"/>
    <w:rsid w:val="0084492F"/>
    <w:rsid w:val="00844E79"/>
    <w:rsid w:val="008465D2"/>
    <w:rsid w:val="00850792"/>
    <w:rsid w:val="00850819"/>
    <w:rsid w:val="0085298F"/>
    <w:rsid w:val="00852FA8"/>
    <w:rsid w:val="00853AF4"/>
    <w:rsid w:val="00853E9B"/>
    <w:rsid w:val="008541E9"/>
    <w:rsid w:val="00854230"/>
    <w:rsid w:val="00854C30"/>
    <w:rsid w:val="00854C99"/>
    <w:rsid w:val="008555AD"/>
    <w:rsid w:val="008571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645A"/>
    <w:rsid w:val="00880E0B"/>
    <w:rsid w:val="00881BD7"/>
    <w:rsid w:val="00881C65"/>
    <w:rsid w:val="008820AF"/>
    <w:rsid w:val="008828CA"/>
    <w:rsid w:val="00882AD4"/>
    <w:rsid w:val="00882C00"/>
    <w:rsid w:val="00882E5B"/>
    <w:rsid w:val="00882EAF"/>
    <w:rsid w:val="00884A3C"/>
    <w:rsid w:val="00885021"/>
    <w:rsid w:val="00885294"/>
    <w:rsid w:val="008853F8"/>
    <w:rsid w:val="00885EAA"/>
    <w:rsid w:val="00886C30"/>
    <w:rsid w:val="00886F70"/>
    <w:rsid w:val="00887099"/>
    <w:rsid w:val="008870EA"/>
    <w:rsid w:val="00887663"/>
    <w:rsid w:val="00887E71"/>
    <w:rsid w:val="00890CE6"/>
    <w:rsid w:val="00891958"/>
    <w:rsid w:val="00892A08"/>
    <w:rsid w:val="008943CF"/>
    <w:rsid w:val="008945D6"/>
    <w:rsid w:val="00895C0F"/>
    <w:rsid w:val="00895FE5"/>
    <w:rsid w:val="00896FAB"/>
    <w:rsid w:val="008973E6"/>
    <w:rsid w:val="00897778"/>
    <w:rsid w:val="00897A39"/>
    <w:rsid w:val="00897BD4"/>
    <w:rsid w:val="00897C3B"/>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204"/>
    <w:rsid w:val="008C3DF1"/>
    <w:rsid w:val="008C42FB"/>
    <w:rsid w:val="008C45B6"/>
    <w:rsid w:val="008C54D9"/>
    <w:rsid w:val="008C5E4C"/>
    <w:rsid w:val="008D0F23"/>
    <w:rsid w:val="008D1B34"/>
    <w:rsid w:val="008D2B93"/>
    <w:rsid w:val="008D31AD"/>
    <w:rsid w:val="008D3802"/>
    <w:rsid w:val="008D4F6A"/>
    <w:rsid w:val="008D57F5"/>
    <w:rsid w:val="008D5871"/>
    <w:rsid w:val="008D5BCA"/>
    <w:rsid w:val="008D62B9"/>
    <w:rsid w:val="008E07BA"/>
    <w:rsid w:val="008E0BDD"/>
    <w:rsid w:val="008E0F0D"/>
    <w:rsid w:val="008E1130"/>
    <w:rsid w:val="008E160B"/>
    <w:rsid w:val="008E170C"/>
    <w:rsid w:val="008E17D2"/>
    <w:rsid w:val="008E24FB"/>
    <w:rsid w:val="008E3173"/>
    <w:rsid w:val="008E40F9"/>
    <w:rsid w:val="008E4479"/>
    <w:rsid w:val="008E4958"/>
    <w:rsid w:val="008E510A"/>
    <w:rsid w:val="008E5BF5"/>
    <w:rsid w:val="008E6B75"/>
    <w:rsid w:val="008E6C61"/>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B6A"/>
    <w:rsid w:val="008F5F59"/>
    <w:rsid w:val="008F640B"/>
    <w:rsid w:val="008F79F2"/>
    <w:rsid w:val="008F7B57"/>
    <w:rsid w:val="0090242B"/>
    <w:rsid w:val="0090251E"/>
    <w:rsid w:val="00903866"/>
    <w:rsid w:val="00904AC3"/>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BE9"/>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3E6D"/>
    <w:rsid w:val="00934A46"/>
    <w:rsid w:val="00935BC3"/>
    <w:rsid w:val="00937266"/>
    <w:rsid w:val="00940AA9"/>
    <w:rsid w:val="00941264"/>
    <w:rsid w:val="0094143E"/>
    <w:rsid w:val="00942522"/>
    <w:rsid w:val="0094296E"/>
    <w:rsid w:val="0094298C"/>
    <w:rsid w:val="009434E1"/>
    <w:rsid w:val="0094553A"/>
    <w:rsid w:val="00946CDC"/>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000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0093"/>
    <w:rsid w:val="009817FD"/>
    <w:rsid w:val="00981EDA"/>
    <w:rsid w:val="00981F25"/>
    <w:rsid w:val="0098203C"/>
    <w:rsid w:val="00982365"/>
    <w:rsid w:val="009844BA"/>
    <w:rsid w:val="009857F1"/>
    <w:rsid w:val="00985A7D"/>
    <w:rsid w:val="00985EC8"/>
    <w:rsid w:val="00985F93"/>
    <w:rsid w:val="00986BF8"/>
    <w:rsid w:val="00986C82"/>
    <w:rsid w:val="009877A7"/>
    <w:rsid w:val="009911F3"/>
    <w:rsid w:val="00991319"/>
    <w:rsid w:val="0099311D"/>
    <w:rsid w:val="00993552"/>
    <w:rsid w:val="00993CD7"/>
    <w:rsid w:val="0099431B"/>
    <w:rsid w:val="00994865"/>
    <w:rsid w:val="00994987"/>
    <w:rsid w:val="00995A6D"/>
    <w:rsid w:val="00995DAD"/>
    <w:rsid w:val="00995F4D"/>
    <w:rsid w:val="00995FF5"/>
    <w:rsid w:val="00996726"/>
    <w:rsid w:val="00996EF4"/>
    <w:rsid w:val="009973BE"/>
    <w:rsid w:val="00997849"/>
    <w:rsid w:val="009A0FE4"/>
    <w:rsid w:val="009A1480"/>
    <w:rsid w:val="009A35FA"/>
    <w:rsid w:val="009A3D32"/>
    <w:rsid w:val="009A3DE5"/>
    <w:rsid w:val="009A53DE"/>
    <w:rsid w:val="009A5649"/>
    <w:rsid w:val="009A5ECB"/>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2D63"/>
    <w:rsid w:val="009D56AA"/>
    <w:rsid w:val="009D60F4"/>
    <w:rsid w:val="009D6686"/>
    <w:rsid w:val="009D6C0F"/>
    <w:rsid w:val="009D6D3D"/>
    <w:rsid w:val="009D7037"/>
    <w:rsid w:val="009D71AB"/>
    <w:rsid w:val="009D72AF"/>
    <w:rsid w:val="009D7595"/>
    <w:rsid w:val="009D7679"/>
    <w:rsid w:val="009D7C0C"/>
    <w:rsid w:val="009D7F0B"/>
    <w:rsid w:val="009E1F57"/>
    <w:rsid w:val="009E20EB"/>
    <w:rsid w:val="009E489A"/>
    <w:rsid w:val="009E4EB9"/>
    <w:rsid w:val="009E5212"/>
    <w:rsid w:val="009E6C19"/>
    <w:rsid w:val="009E6E2F"/>
    <w:rsid w:val="009E72FE"/>
    <w:rsid w:val="009F0845"/>
    <w:rsid w:val="009F1250"/>
    <w:rsid w:val="009F1461"/>
    <w:rsid w:val="009F1EDE"/>
    <w:rsid w:val="009F2CEE"/>
    <w:rsid w:val="009F2EF1"/>
    <w:rsid w:val="009F3F1F"/>
    <w:rsid w:val="009F426B"/>
    <w:rsid w:val="009F4ACC"/>
    <w:rsid w:val="009F6192"/>
    <w:rsid w:val="009F6624"/>
    <w:rsid w:val="009F672D"/>
    <w:rsid w:val="009F6E2E"/>
    <w:rsid w:val="009F7EA7"/>
    <w:rsid w:val="00A000EF"/>
    <w:rsid w:val="00A00395"/>
    <w:rsid w:val="00A01B93"/>
    <w:rsid w:val="00A037A5"/>
    <w:rsid w:val="00A04292"/>
    <w:rsid w:val="00A051FE"/>
    <w:rsid w:val="00A05BED"/>
    <w:rsid w:val="00A05C06"/>
    <w:rsid w:val="00A05C6E"/>
    <w:rsid w:val="00A06128"/>
    <w:rsid w:val="00A06530"/>
    <w:rsid w:val="00A0687B"/>
    <w:rsid w:val="00A06974"/>
    <w:rsid w:val="00A073B1"/>
    <w:rsid w:val="00A07888"/>
    <w:rsid w:val="00A07A81"/>
    <w:rsid w:val="00A10362"/>
    <w:rsid w:val="00A11268"/>
    <w:rsid w:val="00A11ADE"/>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252C"/>
    <w:rsid w:val="00A23BE3"/>
    <w:rsid w:val="00A24116"/>
    <w:rsid w:val="00A242BE"/>
    <w:rsid w:val="00A25174"/>
    <w:rsid w:val="00A25BB6"/>
    <w:rsid w:val="00A25DF7"/>
    <w:rsid w:val="00A278EB"/>
    <w:rsid w:val="00A30ABB"/>
    <w:rsid w:val="00A320D9"/>
    <w:rsid w:val="00A326BC"/>
    <w:rsid w:val="00A32801"/>
    <w:rsid w:val="00A32DF4"/>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19"/>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6451"/>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67E36"/>
    <w:rsid w:val="00A70D4D"/>
    <w:rsid w:val="00A719BF"/>
    <w:rsid w:val="00A71C72"/>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21AB"/>
    <w:rsid w:val="00A82509"/>
    <w:rsid w:val="00A82DDB"/>
    <w:rsid w:val="00A83FA7"/>
    <w:rsid w:val="00A84AD9"/>
    <w:rsid w:val="00A84CB5"/>
    <w:rsid w:val="00A85D18"/>
    <w:rsid w:val="00A8608E"/>
    <w:rsid w:val="00A86211"/>
    <w:rsid w:val="00A87B90"/>
    <w:rsid w:val="00A87BF7"/>
    <w:rsid w:val="00A9069E"/>
    <w:rsid w:val="00A9152C"/>
    <w:rsid w:val="00A923EA"/>
    <w:rsid w:val="00A93B35"/>
    <w:rsid w:val="00A94105"/>
    <w:rsid w:val="00A946C6"/>
    <w:rsid w:val="00A94A0D"/>
    <w:rsid w:val="00A94EF9"/>
    <w:rsid w:val="00A9526B"/>
    <w:rsid w:val="00A96221"/>
    <w:rsid w:val="00A96256"/>
    <w:rsid w:val="00A96A09"/>
    <w:rsid w:val="00AA0497"/>
    <w:rsid w:val="00AA0955"/>
    <w:rsid w:val="00AA1B04"/>
    <w:rsid w:val="00AA1E6A"/>
    <w:rsid w:val="00AA227B"/>
    <w:rsid w:val="00AA2614"/>
    <w:rsid w:val="00AA2744"/>
    <w:rsid w:val="00AA2A94"/>
    <w:rsid w:val="00AA3F55"/>
    <w:rsid w:val="00AA46E5"/>
    <w:rsid w:val="00AA46E6"/>
    <w:rsid w:val="00AA4E3C"/>
    <w:rsid w:val="00AA5FEE"/>
    <w:rsid w:val="00AA6624"/>
    <w:rsid w:val="00AA6E94"/>
    <w:rsid w:val="00AA7217"/>
    <w:rsid w:val="00AA7BC6"/>
    <w:rsid w:val="00AA7D6B"/>
    <w:rsid w:val="00AB03C3"/>
    <w:rsid w:val="00AB060C"/>
    <w:rsid w:val="00AB07BF"/>
    <w:rsid w:val="00AB0812"/>
    <w:rsid w:val="00AB09BC"/>
    <w:rsid w:val="00AB12D9"/>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0818"/>
    <w:rsid w:val="00AC1745"/>
    <w:rsid w:val="00AC1ACC"/>
    <w:rsid w:val="00AC2252"/>
    <w:rsid w:val="00AC2831"/>
    <w:rsid w:val="00AC2C91"/>
    <w:rsid w:val="00AC2FF1"/>
    <w:rsid w:val="00AC3092"/>
    <w:rsid w:val="00AC319E"/>
    <w:rsid w:val="00AC3729"/>
    <w:rsid w:val="00AC3ACD"/>
    <w:rsid w:val="00AC4F0F"/>
    <w:rsid w:val="00AC5988"/>
    <w:rsid w:val="00AC6DB3"/>
    <w:rsid w:val="00AC77B7"/>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460D"/>
    <w:rsid w:val="00AE4981"/>
    <w:rsid w:val="00AE499B"/>
    <w:rsid w:val="00AE4ABE"/>
    <w:rsid w:val="00AE5C42"/>
    <w:rsid w:val="00AE601E"/>
    <w:rsid w:val="00AE609A"/>
    <w:rsid w:val="00AE6E56"/>
    <w:rsid w:val="00AE7161"/>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4CC"/>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2088"/>
    <w:rsid w:val="00B128A7"/>
    <w:rsid w:val="00B137E7"/>
    <w:rsid w:val="00B14A97"/>
    <w:rsid w:val="00B14DD8"/>
    <w:rsid w:val="00B15017"/>
    <w:rsid w:val="00B155C3"/>
    <w:rsid w:val="00B1618D"/>
    <w:rsid w:val="00B16518"/>
    <w:rsid w:val="00B165A6"/>
    <w:rsid w:val="00B168CC"/>
    <w:rsid w:val="00B1690D"/>
    <w:rsid w:val="00B17345"/>
    <w:rsid w:val="00B20268"/>
    <w:rsid w:val="00B20527"/>
    <w:rsid w:val="00B2077A"/>
    <w:rsid w:val="00B20FC6"/>
    <w:rsid w:val="00B22693"/>
    <w:rsid w:val="00B227A5"/>
    <w:rsid w:val="00B22806"/>
    <w:rsid w:val="00B228EE"/>
    <w:rsid w:val="00B22EA6"/>
    <w:rsid w:val="00B22F3E"/>
    <w:rsid w:val="00B235ED"/>
    <w:rsid w:val="00B253A6"/>
    <w:rsid w:val="00B25C33"/>
    <w:rsid w:val="00B25E29"/>
    <w:rsid w:val="00B2662C"/>
    <w:rsid w:val="00B26C72"/>
    <w:rsid w:val="00B2719B"/>
    <w:rsid w:val="00B30C78"/>
    <w:rsid w:val="00B322F6"/>
    <w:rsid w:val="00B323A4"/>
    <w:rsid w:val="00B33563"/>
    <w:rsid w:val="00B3404B"/>
    <w:rsid w:val="00B34094"/>
    <w:rsid w:val="00B343F3"/>
    <w:rsid w:val="00B34FE4"/>
    <w:rsid w:val="00B36321"/>
    <w:rsid w:val="00B3695A"/>
    <w:rsid w:val="00B4086C"/>
    <w:rsid w:val="00B40FC0"/>
    <w:rsid w:val="00B42A6D"/>
    <w:rsid w:val="00B42F63"/>
    <w:rsid w:val="00B43D43"/>
    <w:rsid w:val="00B461DF"/>
    <w:rsid w:val="00B4644D"/>
    <w:rsid w:val="00B465F0"/>
    <w:rsid w:val="00B46E48"/>
    <w:rsid w:val="00B47162"/>
    <w:rsid w:val="00B47A98"/>
    <w:rsid w:val="00B47CBA"/>
    <w:rsid w:val="00B5074F"/>
    <w:rsid w:val="00B50D1C"/>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77C"/>
    <w:rsid w:val="00B648B6"/>
    <w:rsid w:val="00B64967"/>
    <w:rsid w:val="00B65538"/>
    <w:rsid w:val="00B65A18"/>
    <w:rsid w:val="00B65F8B"/>
    <w:rsid w:val="00B6611D"/>
    <w:rsid w:val="00B66383"/>
    <w:rsid w:val="00B66799"/>
    <w:rsid w:val="00B66D30"/>
    <w:rsid w:val="00B67932"/>
    <w:rsid w:val="00B67D19"/>
    <w:rsid w:val="00B70163"/>
    <w:rsid w:val="00B706AF"/>
    <w:rsid w:val="00B7134B"/>
    <w:rsid w:val="00B714B0"/>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926"/>
    <w:rsid w:val="00B84F18"/>
    <w:rsid w:val="00B853B4"/>
    <w:rsid w:val="00B85C37"/>
    <w:rsid w:val="00B85D7B"/>
    <w:rsid w:val="00B860C8"/>
    <w:rsid w:val="00B8634E"/>
    <w:rsid w:val="00B86B9B"/>
    <w:rsid w:val="00B8792F"/>
    <w:rsid w:val="00B90D32"/>
    <w:rsid w:val="00B9125F"/>
    <w:rsid w:val="00B916FF"/>
    <w:rsid w:val="00B92FFE"/>
    <w:rsid w:val="00B93BBA"/>
    <w:rsid w:val="00B94445"/>
    <w:rsid w:val="00B9493B"/>
    <w:rsid w:val="00B96528"/>
    <w:rsid w:val="00B970CF"/>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2668"/>
    <w:rsid w:val="00BB3275"/>
    <w:rsid w:val="00BB32ED"/>
    <w:rsid w:val="00BB3604"/>
    <w:rsid w:val="00BB379D"/>
    <w:rsid w:val="00BB3F6D"/>
    <w:rsid w:val="00BB4131"/>
    <w:rsid w:val="00BB5B7E"/>
    <w:rsid w:val="00BB6239"/>
    <w:rsid w:val="00BB6FE9"/>
    <w:rsid w:val="00BC02EF"/>
    <w:rsid w:val="00BC03C4"/>
    <w:rsid w:val="00BC07A7"/>
    <w:rsid w:val="00BC2111"/>
    <w:rsid w:val="00BC2848"/>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527"/>
    <w:rsid w:val="00BD589A"/>
    <w:rsid w:val="00BD5D53"/>
    <w:rsid w:val="00BD672B"/>
    <w:rsid w:val="00BD6ED4"/>
    <w:rsid w:val="00BD7564"/>
    <w:rsid w:val="00BE0818"/>
    <w:rsid w:val="00BE1277"/>
    <w:rsid w:val="00BE181E"/>
    <w:rsid w:val="00BE1A32"/>
    <w:rsid w:val="00BE23F2"/>
    <w:rsid w:val="00BE2659"/>
    <w:rsid w:val="00BE2E87"/>
    <w:rsid w:val="00BE38A5"/>
    <w:rsid w:val="00BE3B53"/>
    <w:rsid w:val="00BE3BC7"/>
    <w:rsid w:val="00BE4562"/>
    <w:rsid w:val="00BE5586"/>
    <w:rsid w:val="00BE5599"/>
    <w:rsid w:val="00BE55E6"/>
    <w:rsid w:val="00BE68B6"/>
    <w:rsid w:val="00BE725B"/>
    <w:rsid w:val="00BE7721"/>
    <w:rsid w:val="00BF094D"/>
    <w:rsid w:val="00BF0CB2"/>
    <w:rsid w:val="00BF1BF2"/>
    <w:rsid w:val="00BF1D36"/>
    <w:rsid w:val="00BF2436"/>
    <w:rsid w:val="00BF2A47"/>
    <w:rsid w:val="00BF35E3"/>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03C4"/>
    <w:rsid w:val="00C11959"/>
    <w:rsid w:val="00C11CD0"/>
    <w:rsid w:val="00C1258B"/>
    <w:rsid w:val="00C12A64"/>
    <w:rsid w:val="00C1305C"/>
    <w:rsid w:val="00C132E2"/>
    <w:rsid w:val="00C13981"/>
    <w:rsid w:val="00C13B83"/>
    <w:rsid w:val="00C13C5D"/>
    <w:rsid w:val="00C13C9B"/>
    <w:rsid w:val="00C13D90"/>
    <w:rsid w:val="00C14080"/>
    <w:rsid w:val="00C147CB"/>
    <w:rsid w:val="00C14998"/>
    <w:rsid w:val="00C14AE0"/>
    <w:rsid w:val="00C14D20"/>
    <w:rsid w:val="00C15E25"/>
    <w:rsid w:val="00C168A4"/>
    <w:rsid w:val="00C168D7"/>
    <w:rsid w:val="00C1728D"/>
    <w:rsid w:val="00C1768D"/>
    <w:rsid w:val="00C202AC"/>
    <w:rsid w:val="00C207A9"/>
    <w:rsid w:val="00C20852"/>
    <w:rsid w:val="00C20865"/>
    <w:rsid w:val="00C20CF2"/>
    <w:rsid w:val="00C21439"/>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958"/>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102F"/>
    <w:rsid w:val="00C418ED"/>
    <w:rsid w:val="00C41AFE"/>
    <w:rsid w:val="00C41E20"/>
    <w:rsid w:val="00C42B7F"/>
    <w:rsid w:val="00C434A1"/>
    <w:rsid w:val="00C43760"/>
    <w:rsid w:val="00C43890"/>
    <w:rsid w:val="00C43D1B"/>
    <w:rsid w:val="00C44990"/>
    <w:rsid w:val="00C44DB8"/>
    <w:rsid w:val="00C46786"/>
    <w:rsid w:val="00C46C79"/>
    <w:rsid w:val="00C50021"/>
    <w:rsid w:val="00C50045"/>
    <w:rsid w:val="00C50267"/>
    <w:rsid w:val="00C50446"/>
    <w:rsid w:val="00C511E1"/>
    <w:rsid w:val="00C51255"/>
    <w:rsid w:val="00C52389"/>
    <w:rsid w:val="00C53013"/>
    <w:rsid w:val="00C53D02"/>
    <w:rsid w:val="00C53E48"/>
    <w:rsid w:val="00C54C13"/>
    <w:rsid w:val="00C54D4A"/>
    <w:rsid w:val="00C54DF5"/>
    <w:rsid w:val="00C54E36"/>
    <w:rsid w:val="00C54E64"/>
    <w:rsid w:val="00C55C44"/>
    <w:rsid w:val="00C55C7E"/>
    <w:rsid w:val="00C57D8C"/>
    <w:rsid w:val="00C600E7"/>
    <w:rsid w:val="00C60692"/>
    <w:rsid w:val="00C60873"/>
    <w:rsid w:val="00C60AD4"/>
    <w:rsid w:val="00C6155D"/>
    <w:rsid w:val="00C6177C"/>
    <w:rsid w:val="00C617ED"/>
    <w:rsid w:val="00C61827"/>
    <w:rsid w:val="00C61CAE"/>
    <w:rsid w:val="00C61D2A"/>
    <w:rsid w:val="00C6319D"/>
    <w:rsid w:val="00C631C5"/>
    <w:rsid w:val="00C6390D"/>
    <w:rsid w:val="00C64195"/>
    <w:rsid w:val="00C64534"/>
    <w:rsid w:val="00C64859"/>
    <w:rsid w:val="00C65465"/>
    <w:rsid w:val="00C65502"/>
    <w:rsid w:val="00C675EB"/>
    <w:rsid w:val="00C676EA"/>
    <w:rsid w:val="00C700FE"/>
    <w:rsid w:val="00C72424"/>
    <w:rsid w:val="00C73E8B"/>
    <w:rsid w:val="00C74CD4"/>
    <w:rsid w:val="00C74F5C"/>
    <w:rsid w:val="00C75C02"/>
    <w:rsid w:val="00C76BFE"/>
    <w:rsid w:val="00C774D0"/>
    <w:rsid w:val="00C77681"/>
    <w:rsid w:val="00C77D90"/>
    <w:rsid w:val="00C808F0"/>
    <w:rsid w:val="00C809E5"/>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369"/>
    <w:rsid w:val="00C96B3F"/>
    <w:rsid w:val="00C96BB1"/>
    <w:rsid w:val="00C9794F"/>
    <w:rsid w:val="00CA0DA0"/>
    <w:rsid w:val="00CA1308"/>
    <w:rsid w:val="00CA1531"/>
    <w:rsid w:val="00CA156C"/>
    <w:rsid w:val="00CA1C61"/>
    <w:rsid w:val="00CA1FC9"/>
    <w:rsid w:val="00CA22D7"/>
    <w:rsid w:val="00CA273C"/>
    <w:rsid w:val="00CA4298"/>
    <w:rsid w:val="00CA43AA"/>
    <w:rsid w:val="00CA530F"/>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1FCA"/>
    <w:rsid w:val="00CC29EF"/>
    <w:rsid w:val="00CC29F4"/>
    <w:rsid w:val="00CC2A08"/>
    <w:rsid w:val="00CC2E79"/>
    <w:rsid w:val="00CC31A5"/>
    <w:rsid w:val="00CC32E8"/>
    <w:rsid w:val="00CC40AF"/>
    <w:rsid w:val="00CC48BF"/>
    <w:rsid w:val="00CC5112"/>
    <w:rsid w:val="00CC5559"/>
    <w:rsid w:val="00CC5E15"/>
    <w:rsid w:val="00CC63BD"/>
    <w:rsid w:val="00CC6AA8"/>
    <w:rsid w:val="00CC6D07"/>
    <w:rsid w:val="00CC6D21"/>
    <w:rsid w:val="00CC76FA"/>
    <w:rsid w:val="00CD03D0"/>
    <w:rsid w:val="00CD04D5"/>
    <w:rsid w:val="00CD13FE"/>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84"/>
    <w:rsid w:val="00CE72B8"/>
    <w:rsid w:val="00CE76BE"/>
    <w:rsid w:val="00CF08AB"/>
    <w:rsid w:val="00CF0FEE"/>
    <w:rsid w:val="00CF2208"/>
    <w:rsid w:val="00CF2D11"/>
    <w:rsid w:val="00CF3649"/>
    <w:rsid w:val="00CF3A89"/>
    <w:rsid w:val="00CF3E52"/>
    <w:rsid w:val="00CF3E91"/>
    <w:rsid w:val="00CF5BAA"/>
    <w:rsid w:val="00CF634A"/>
    <w:rsid w:val="00CF7282"/>
    <w:rsid w:val="00CF7853"/>
    <w:rsid w:val="00D009CC"/>
    <w:rsid w:val="00D0118F"/>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5DA2"/>
    <w:rsid w:val="00D162A4"/>
    <w:rsid w:val="00D16D32"/>
    <w:rsid w:val="00D178CA"/>
    <w:rsid w:val="00D17BE1"/>
    <w:rsid w:val="00D20446"/>
    <w:rsid w:val="00D20EFA"/>
    <w:rsid w:val="00D2121B"/>
    <w:rsid w:val="00D215BF"/>
    <w:rsid w:val="00D21D0C"/>
    <w:rsid w:val="00D2332E"/>
    <w:rsid w:val="00D24201"/>
    <w:rsid w:val="00D242A6"/>
    <w:rsid w:val="00D24AC3"/>
    <w:rsid w:val="00D24AE9"/>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5E8"/>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4E7F"/>
    <w:rsid w:val="00D45515"/>
    <w:rsid w:val="00D45602"/>
    <w:rsid w:val="00D456BD"/>
    <w:rsid w:val="00D4581E"/>
    <w:rsid w:val="00D47412"/>
    <w:rsid w:val="00D500A7"/>
    <w:rsid w:val="00D50531"/>
    <w:rsid w:val="00D50BD5"/>
    <w:rsid w:val="00D50C10"/>
    <w:rsid w:val="00D51876"/>
    <w:rsid w:val="00D520CD"/>
    <w:rsid w:val="00D5213B"/>
    <w:rsid w:val="00D5238D"/>
    <w:rsid w:val="00D5331B"/>
    <w:rsid w:val="00D5579C"/>
    <w:rsid w:val="00D56213"/>
    <w:rsid w:val="00D566EA"/>
    <w:rsid w:val="00D56FC3"/>
    <w:rsid w:val="00D578A8"/>
    <w:rsid w:val="00D6162B"/>
    <w:rsid w:val="00D64807"/>
    <w:rsid w:val="00D64B34"/>
    <w:rsid w:val="00D6549B"/>
    <w:rsid w:val="00D65533"/>
    <w:rsid w:val="00D665CC"/>
    <w:rsid w:val="00D67252"/>
    <w:rsid w:val="00D70C19"/>
    <w:rsid w:val="00D71176"/>
    <w:rsid w:val="00D71FF6"/>
    <w:rsid w:val="00D7225A"/>
    <w:rsid w:val="00D728D1"/>
    <w:rsid w:val="00D72E79"/>
    <w:rsid w:val="00D74279"/>
    <w:rsid w:val="00D75C30"/>
    <w:rsid w:val="00D76337"/>
    <w:rsid w:val="00D76468"/>
    <w:rsid w:val="00D7782A"/>
    <w:rsid w:val="00D80281"/>
    <w:rsid w:val="00D80824"/>
    <w:rsid w:val="00D808F4"/>
    <w:rsid w:val="00D80973"/>
    <w:rsid w:val="00D80D19"/>
    <w:rsid w:val="00D8125F"/>
    <w:rsid w:val="00D8139F"/>
    <w:rsid w:val="00D8170A"/>
    <w:rsid w:val="00D81C97"/>
    <w:rsid w:val="00D81E96"/>
    <w:rsid w:val="00D82AF8"/>
    <w:rsid w:val="00D82D85"/>
    <w:rsid w:val="00D83747"/>
    <w:rsid w:val="00D83CA4"/>
    <w:rsid w:val="00D84778"/>
    <w:rsid w:val="00D84DC4"/>
    <w:rsid w:val="00D85244"/>
    <w:rsid w:val="00D852E8"/>
    <w:rsid w:val="00D86138"/>
    <w:rsid w:val="00D8615B"/>
    <w:rsid w:val="00D86C92"/>
    <w:rsid w:val="00D86F3B"/>
    <w:rsid w:val="00D8714F"/>
    <w:rsid w:val="00D87F36"/>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F87"/>
    <w:rsid w:val="00DB41D7"/>
    <w:rsid w:val="00DB4476"/>
    <w:rsid w:val="00DB45F8"/>
    <w:rsid w:val="00DB45FA"/>
    <w:rsid w:val="00DB5750"/>
    <w:rsid w:val="00DB5FB0"/>
    <w:rsid w:val="00DB6293"/>
    <w:rsid w:val="00DB6413"/>
    <w:rsid w:val="00DB657E"/>
    <w:rsid w:val="00DB793D"/>
    <w:rsid w:val="00DC1591"/>
    <w:rsid w:val="00DC2163"/>
    <w:rsid w:val="00DC2997"/>
    <w:rsid w:val="00DC3267"/>
    <w:rsid w:val="00DC34C2"/>
    <w:rsid w:val="00DC46DA"/>
    <w:rsid w:val="00DC495F"/>
    <w:rsid w:val="00DC4F07"/>
    <w:rsid w:val="00DC500B"/>
    <w:rsid w:val="00DC54A4"/>
    <w:rsid w:val="00DC5E7C"/>
    <w:rsid w:val="00DC693A"/>
    <w:rsid w:val="00DC7B0D"/>
    <w:rsid w:val="00DC7CBE"/>
    <w:rsid w:val="00DD11EC"/>
    <w:rsid w:val="00DD1A9A"/>
    <w:rsid w:val="00DD1F42"/>
    <w:rsid w:val="00DD23B6"/>
    <w:rsid w:val="00DD31A5"/>
    <w:rsid w:val="00DD34C0"/>
    <w:rsid w:val="00DD4EA3"/>
    <w:rsid w:val="00DD5193"/>
    <w:rsid w:val="00DD5970"/>
    <w:rsid w:val="00DD6F65"/>
    <w:rsid w:val="00DD70A3"/>
    <w:rsid w:val="00DE00C8"/>
    <w:rsid w:val="00DE02C1"/>
    <w:rsid w:val="00DE1C7E"/>
    <w:rsid w:val="00DE1E23"/>
    <w:rsid w:val="00DE1FF5"/>
    <w:rsid w:val="00DE219D"/>
    <w:rsid w:val="00DE23E7"/>
    <w:rsid w:val="00DE2E13"/>
    <w:rsid w:val="00DE3856"/>
    <w:rsid w:val="00DE415E"/>
    <w:rsid w:val="00DE5343"/>
    <w:rsid w:val="00DE5BEF"/>
    <w:rsid w:val="00DE5FC5"/>
    <w:rsid w:val="00DE66CD"/>
    <w:rsid w:val="00DE6958"/>
    <w:rsid w:val="00DE755D"/>
    <w:rsid w:val="00DF114A"/>
    <w:rsid w:val="00DF14FB"/>
    <w:rsid w:val="00DF5638"/>
    <w:rsid w:val="00DF5C9E"/>
    <w:rsid w:val="00DF63C8"/>
    <w:rsid w:val="00DF64CA"/>
    <w:rsid w:val="00DF6C92"/>
    <w:rsid w:val="00DF7FFE"/>
    <w:rsid w:val="00E00661"/>
    <w:rsid w:val="00E01E80"/>
    <w:rsid w:val="00E0212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EC4"/>
    <w:rsid w:val="00E165CF"/>
    <w:rsid w:val="00E166ED"/>
    <w:rsid w:val="00E1699F"/>
    <w:rsid w:val="00E20E34"/>
    <w:rsid w:val="00E212B1"/>
    <w:rsid w:val="00E21380"/>
    <w:rsid w:val="00E21E0B"/>
    <w:rsid w:val="00E23842"/>
    <w:rsid w:val="00E24B03"/>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4AF"/>
    <w:rsid w:val="00E3574C"/>
    <w:rsid w:val="00E357BB"/>
    <w:rsid w:val="00E3631C"/>
    <w:rsid w:val="00E369D1"/>
    <w:rsid w:val="00E36D92"/>
    <w:rsid w:val="00E36FE9"/>
    <w:rsid w:val="00E37AC2"/>
    <w:rsid w:val="00E37D6E"/>
    <w:rsid w:val="00E37E5D"/>
    <w:rsid w:val="00E37EBA"/>
    <w:rsid w:val="00E40054"/>
    <w:rsid w:val="00E4269F"/>
    <w:rsid w:val="00E43125"/>
    <w:rsid w:val="00E434A7"/>
    <w:rsid w:val="00E43709"/>
    <w:rsid w:val="00E4431D"/>
    <w:rsid w:val="00E446A5"/>
    <w:rsid w:val="00E449A7"/>
    <w:rsid w:val="00E45174"/>
    <w:rsid w:val="00E45C1A"/>
    <w:rsid w:val="00E4640D"/>
    <w:rsid w:val="00E46738"/>
    <w:rsid w:val="00E46A0A"/>
    <w:rsid w:val="00E47A32"/>
    <w:rsid w:val="00E5021D"/>
    <w:rsid w:val="00E521C7"/>
    <w:rsid w:val="00E525F8"/>
    <w:rsid w:val="00E52B34"/>
    <w:rsid w:val="00E53F83"/>
    <w:rsid w:val="00E54271"/>
    <w:rsid w:val="00E5515A"/>
    <w:rsid w:val="00E552B0"/>
    <w:rsid w:val="00E55E39"/>
    <w:rsid w:val="00E55E94"/>
    <w:rsid w:val="00E5648B"/>
    <w:rsid w:val="00E56F98"/>
    <w:rsid w:val="00E60126"/>
    <w:rsid w:val="00E61AD9"/>
    <w:rsid w:val="00E625E8"/>
    <w:rsid w:val="00E62DE9"/>
    <w:rsid w:val="00E630B7"/>
    <w:rsid w:val="00E634DA"/>
    <w:rsid w:val="00E634FA"/>
    <w:rsid w:val="00E63F7A"/>
    <w:rsid w:val="00E6452A"/>
    <w:rsid w:val="00E6537C"/>
    <w:rsid w:val="00E6556D"/>
    <w:rsid w:val="00E6597E"/>
    <w:rsid w:val="00E65C93"/>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36"/>
    <w:rsid w:val="00E77867"/>
    <w:rsid w:val="00E77FC4"/>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BEF"/>
    <w:rsid w:val="00E87C7C"/>
    <w:rsid w:val="00E91876"/>
    <w:rsid w:val="00E91944"/>
    <w:rsid w:val="00E91C81"/>
    <w:rsid w:val="00E93208"/>
    <w:rsid w:val="00E93E05"/>
    <w:rsid w:val="00E9441C"/>
    <w:rsid w:val="00E94568"/>
    <w:rsid w:val="00E94606"/>
    <w:rsid w:val="00E94624"/>
    <w:rsid w:val="00E94755"/>
    <w:rsid w:val="00E94862"/>
    <w:rsid w:val="00E9591C"/>
    <w:rsid w:val="00E95D04"/>
    <w:rsid w:val="00E9746A"/>
    <w:rsid w:val="00EA0296"/>
    <w:rsid w:val="00EA072E"/>
    <w:rsid w:val="00EA0C69"/>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B754D"/>
    <w:rsid w:val="00EC0CE4"/>
    <w:rsid w:val="00EC11FF"/>
    <w:rsid w:val="00EC26DE"/>
    <w:rsid w:val="00EC2860"/>
    <w:rsid w:val="00EC3FDF"/>
    <w:rsid w:val="00EC44FD"/>
    <w:rsid w:val="00EC45A5"/>
    <w:rsid w:val="00EC47B6"/>
    <w:rsid w:val="00EC4AA6"/>
    <w:rsid w:val="00EC6842"/>
    <w:rsid w:val="00EC70C6"/>
    <w:rsid w:val="00EC714B"/>
    <w:rsid w:val="00EC7F26"/>
    <w:rsid w:val="00ED012B"/>
    <w:rsid w:val="00ED02F9"/>
    <w:rsid w:val="00ED0444"/>
    <w:rsid w:val="00ED04EC"/>
    <w:rsid w:val="00ED052F"/>
    <w:rsid w:val="00ED0E29"/>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50CE"/>
    <w:rsid w:val="00EE5CD7"/>
    <w:rsid w:val="00EE6B14"/>
    <w:rsid w:val="00EE781A"/>
    <w:rsid w:val="00EF0315"/>
    <w:rsid w:val="00EF1588"/>
    <w:rsid w:val="00EF1D12"/>
    <w:rsid w:val="00EF208E"/>
    <w:rsid w:val="00EF2256"/>
    <w:rsid w:val="00EF2C03"/>
    <w:rsid w:val="00EF3697"/>
    <w:rsid w:val="00EF3A69"/>
    <w:rsid w:val="00EF4108"/>
    <w:rsid w:val="00EF5295"/>
    <w:rsid w:val="00EF54D4"/>
    <w:rsid w:val="00EF581C"/>
    <w:rsid w:val="00EF6278"/>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39A4"/>
    <w:rsid w:val="00F1412A"/>
    <w:rsid w:val="00F14B6C"/>
    <w:rsid w:val="00F15545"/>
    <w:rsid w:val="00F15F81"/>
    <w:rsid w:val="00F16EAA"/>
    <w:rsid w:val="00F1748F"/>
    <w:rsid w:val="00F17594"/>
    <w:rsid w:val="00F17E4B"/>
    <w:rsid w:val="00F2074F"/>
    <w:rsid w:val="00F20D01"/>
    <w:rsid w:val="00F21995"/>
    <w:rsid w:val="00F21B41"/>
    <w:rsid w:val="00F22A6D"/>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47BF1"/>
    <w:rsid w:val="00F50C28"/>
    <w:rsid w:val="00F50D98"/>
    <w:rsid w:val="00F513C0"/>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02A6"/>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D49"/>
    <w:rsid w:val="00F718A3"/>
    <w:rsid w:val="00F7194C"/>
    <w:rsid w:val="00F71DC9"/>
    <w:rsid w:val="00F729CF"/>
    <w:rsid w:val="00F72FC2"/>
    <w:rsid w:val="00F749A8"/>
    <w:rsid w:val="00F74F32"/>
    <w:rsid w:val="00F75825"/>
    <w:rsid w:val="00F75C81"/>
    <w:rsid w:val="00F760BB"/>
    <w:rsid w:val="00F76A97"/>
    <w:rsid w:val="00F77B5A"/>
    <w:rsid w:val="00F77CFC"/>
    <w:rsid w:val="00F803E8"/>
    <w:rsid w:val="00F810F2"/>
    <w:rsid w:val="00F81192"/>
    <w:rsid w:val="00F81513"/>
    <w:rsid w:val="00F81D51"/>
    <w:rsid w:val="00F82083"/>
    <w:rsid w:val="00F82179"/>
    <w:rsid w:val="00F826EA"/>
    <w:rsid w:val="00F82E88"/>
    <w:rsid w:val="00F83AB3"/>
    <w:rsid w:val="00F859EC"/>
    <w:rsid w:val="00F85A23"/>
    <w:rsid w:val="00F85AEE"/>
    <w:rsid w:val="00F863D0"/>
    <w:rsid w:val="00F864AB"/>
    <w:rsid w:val="00F86554"/>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C44"/>
    <w:rsid w:val="00FA6ECF"/>
    <w:rsid w:val="00FA74FF"/>
    <w:rsid w:val="00FA7AA6"/>
    <w:rsid w:val="00FA7C01"/>
    <w:rsid w:val="00FA7C9C"/>
    <w:rsid w:val="00FA7D10"/>
    <w:rsid w:val="00FA7DED"/>
    <w:rsid w:val="00FB0A05"/>
    <w:rsid w:val="00FB2B42"/>
    <w:rsid w:val="00FB3DAE"/>
    <w:rsid w:val="00FB45CA"/>
    <w:rsid w:val="00FB5072"/>
    <w:rsid w:val="00FB52BF"/>
    <w:rsid w:val="00FB54E3"/>
    <w:rsid w:val="00FB5BE2"/>
    <w:rsid w:val="00FB6293"/>
    <w:rsid w:val="00FB62CF"/>
    <w:rsid w:val="00FB67B4"/>
    <w:rsid w:val="00FB7704"/>
    <w:rsid w:val="00FB7C14"/>
    <w:rsid w:val="00FC0500"/>
    <w:rsid w:val="00FC0ACC"/>
    <w:rsid w:val="00FC0C3B"/>
    <w:rsid w:val="00FC0C3D"/>
    <w:rsid w:val="00FC14CF"/>
    <w:rsid w:val="00FC1AAD"/>
    <w:rsid w:val="00FC2ADB"/>
    <w:rsid w:val="00FC2E5F"/>
    <w:rsid w:val="00FC385D"/>
    <w:rsid w:val="00FC5490"/>
    <w:rsid w:val="00FC5D44"/>
    <w:rsid w:val="00FC6576"/>
    <w:rsid w:val="00FC740F"/>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1AE"/>
    <w:rsid w:val="00FE057F"/>
    <w:rsid w:val="00FE06ED"/>
    <w:rsid w:val="00FE0825"/>
    <w:rsid w:val="00FE0C63"/>
    <w:rsid w:val="00FE1064"/>
    <w:rsid w:val="00FE2763"/>
    <w:rsid w:val="00FE2E74"/>
    <w:rsid w:val="00FE3153"/>
    <w:rsid w:val="00FE3327"/>
    <w:rsid w:val="00FE357C"/>
    <w:rsid w:val="00FE3FB8"/>
    <w:rsid w:val="00FE41B8"/>
    <w:rsid w:val="00FE4729"/>
    <w:rsid w:val="00FE4ABC"/>
    <w:rsid w:val="00FE4D3E"/>
    <w:rsid w:val="00FE4F0E"/>
    <w:rsid w:val="00FE6BAD"/>
    <w:rsid w:val="00FE6FF7"/>
    <w:rsid w:val="00FE78A7"/>
    <w:rsid w:val="00FE7C80"/>
    <w:rsid w:val="00FF2F94"/>
    <w:rsid w:val="00FF35C5"/>
    <w:rsid w:val="00FF37B2"/>
    <w:rsid w:val="00FF530E"/>
    <w:rsid w:val="00FF5C3C"/>
    <w:rsid w:val="00FF66BF"/>
    <w:rsid w:val="00FF7695"/>
    <w:rsid w:val="29729D5D"/>
    <w:rsid w:val="456B1CF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4D7F7E"/>
  <w15:chartTrackingRefBased/>
  <w15:docId w15:val="{96C748D2-F6B6-4F6B-984B-81738D83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qFormat="1"/>
    <w:lsdException w:name="Subtitle" w:qFormat="1"/>
    <w:lsdException w:name="Strong" w:uiPriority="22"/>
    <w:lsdException w:name="Emphasis" w:uiPriority="20"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unhideWhenUsed/>
    <w:qFormat/>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qFormat/>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qFormat/>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 w:type="paragraph" w:customStyle="1" w:styleId="Type">
    <w:name w:val="Type"/>
    <w:basedOn w:val="Normal"/>
    <w:link w:val="TypeChar"/>
    <w:qFormat/>
    <w:rsid w:val="003279BA"/>
    <w:pPr>
      <w:jc w:val="center"/>
    </w:pPr>
    <w:rPr>
      <w:b/>
      <w:bCs/>
    </w:rPr>
  </w:style>
  <w:style w:type="character" w:customStyle="1" w:styleId="TypeChar">
    <w:name w:val="Type Char"/>
    <w:basedOn w:val="DefaultParagraphFont"/>
    <w:link w:val="Type"/>
    <w:rsid w:val="003279BA"/>
    <w:rPr>
      <w:rFonts w:ascii="CVS Health Sans" w:hAnsi="CVS Health Sans"/>
      <w:b/>
      <w:bCs/>
      <w:sz w:val="22"/>
    </w:rPr>
  </w:style>
  <w:style w:type="paragraph" w:customStyle="1" w:styleId="LBLLevel1">
    <w:name w:val="LBLLevel 1"/>
    <w:basedOn w:val="Default"/>
    <w:next w:val="Default"/>
    <w:rsid w:val="00252501"/>
    <w:pPr>
      <w:spacing w:before="240"/>
    </w:pPr>
    <w:rPr>
      <w:color w:val="auto"/>
    </w:rPr>
  </w:style>
  <w:style w:type="paragraph" w:customStyle="1" w:styleId="DocDefaults">
    <w:name w:val="DocDefaults"/>
    <w:rsid w:val="00252501"/>
  </w:style>
  <w:style w:type="character" w:customStyle="1" w:styleId="ui-provider">
    <w:name w:val="ui-provider"/>
    <w:basedOn w:val="DefaultParagraphFont"/>
    <w:rsid w:val="001661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7611">
      <w:bodyDiv w:val="1"/>
      <w:marLeft w:val="0"/>
      <w:marRight w:val="0"/>
      <w:marTop w:val="0"/>
      <w:marBottom w:val="0"/>
      <w:divBdr>
        <w:top w:val="none" w:sz="0" w:space="0" w:color="auto"/>
        <w:left w:val="none" w:sz="0" w:space="0" w:color="auto"/>
        <w:bottom w:val="none" w:sz="0" w:space="0" w:color="auto"/>
        <w:right w:val="none" w:sz="0" w:space="0" w:color="auto"/>
      </w:divBdr>
    </w:div>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35535667">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287666543">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57300756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516581089">
              <w:marLeft w:val="0"/>
              <w:marRight w:val="0"/>
              <w:marTop w:val="0"/>
              <w:marBottom w:val="0"/>
              <w:divBdr>
                <w:top w:val="none" w:sz="0" w:space="0" w:color="auto"/>
                <w:left w:val="none" w:sz="0" w:space="0" w:color="auto"/>
                <w:bottom w:val="none" w:sz="0" w:space="0" w:color="auto"/>
                <w:right w:val="none" w:sz="0" w:space="0" w:color="auto"/>
              </w:divBdr>
            </w:div>
            <w:div w:id="1864710861">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45097549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209492983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pc="http://schemas.microsoft.com/office/infopath/2007/PartnerControls" xmlns:xsi="http://www.w3.org/2001/XMLSchema-instance">
  <documentManagement/>
</p:properties>
</file>

<file path=customXml/itemProps1.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2.xml><?xml version="1.0" encoding="utf-8"?>
<ds:datastoreItem xmlns:ds="http://schemas.openxmlformats.org/officeDocument/2006/customXml" ds:itemID="{F9B6C42F-0F3A-451A-B032-B4FA737A3D1C}">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3.xml><?xml version="1.0" encoding="utf-8"?>
<ds:datastoreItem xmlns:ds="http://schemas.openxmlformats.org/officeDocument/2006/customXml" ds:itemID="{ABB10CFD-1419-4752-A139-F94081A179A1}"/>
</file>

<file path=customXml/itemProps4.xml><?xml version="1.0" encoding="utf-8"?>
<ds:datastoreItem xmlns:ds="http://schemas.openxmlformats.org/officeDocument/2006/customXml" ds:itemID="{A243CFE1-08DE-432F-83DD-4933F5F97812}">
  <ds:schemaRefs>
    <ds:schemaRef ds:uri="http://schemas.microsoft.com/office/2006/metadata/properties"/>
    <ds:schemaRef ds:uri="http://schemas.microsoft.com/office/infopath/2007/PartnerControls"/>
    <ds:schemaRef ds:uri="3d05f658-b5f7-4df6-8c02-f51ceb2e0127"/>
    <ds:schemaRef ds:uri="bed7683f-31c5-4c04-bbbd-fa4ba9c25b3c"/>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11</Pages>
  <Words>3015</Words>
  <Characters>17191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5-HT1 Agonist Post Limit PA 1-J, MMT 903-J UDR 06-2024</vt:lpstr>
    </vt:vector>
  </TitlesOfParts>
  <Company>PCS Health Systems</Company>
  <LinksUpToDate>false</LinksUpToDate>
  <CharactersWithSpaces>20166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5-HT1 Agonist Post Limit PA 1-J, MMT 903-J UDR 06-2024</dc:title>
  <dc:subject/>
  <dc:creator>CVS Caremark</dc:creator>
  <cp:keywords/>
  <cp:lastModifiedBy>Wodarczyk, Diana Francesca</cp:lastModifiedBy>
  <cp:revision>85</cp:revision>
  <cp:lastPrinted>2018-01-09T11:01:00Z</cp:lastPrinted>
  <dcterms:created xsi:type="dcterms:W3CDTF">2025-01-31T20:11:00Z</dcterms:created>
  <dcterms:modified xsi:type="dcterms:W3CDTF">2025-02-24T19:31:00Z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xd_ProgID">
    <vt:lpwstr/>
  </property>
  <property fmtid="{D5CDD505-2E9C-101B-9397-08002B2CF9AE}" pid="12" name="ComplianceAssetId">
    <vt:lpwstr/>
  </property>
  <property fmtid="{D5CDD505-2E9C-101B-9397-08002B2CF9AE}" pid="13" name="TemplateUrl">
    <vt:lpwstr/>
  </property>
  <property fmtid="{D5CDD505-2E9C-101B-9397-08002B2CF9AE}" pid="14" name="_ExtendedDescription">
    <vt:lpwstr/>
  </property>
  <property fmtid="{D5CDD505-2E9C-101B-9397-08002B2CF9AE}" pid="15" name="TriggerFlowInfo">
    <vt:lpwstr/>
  </property>
  <property fmtid="{D5CDD505-2E9C-101B-9397-08002B2CF9AE}" pid="16" name="xd_Signature">
    <vt:bool>false</vt:bool>
  </property>
  <property fmtid="{D5CDD505-2E9C-101B-9397-08002B2CF9AE}" pid="17" name="Order">
    <vt:r8>13499200</vt:r8>
  </property>
  <property fmtid="{D5CDD505-2E9C-101B-9397-08002B2CF9AE}" pid="18" name="_SourceUrl">
    <vt:lpwstr/>
  </property>
  <property fmtid="{D5CDD505-2E9C-101B-9397-08002B2CF9AE}" pid="19" name="_SharedFileIndex">
    <vt:lpwstr/>
  </property>
</Properties>
</file>